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39" w:rsidRDefault="008A04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8A0439" w:rsidRDefault="008A0439">
      <w:pPr>
        <w:pStyle w:val="ConsPlusNormal"/>
        <w:jc w:val="both"/>
        <w:outlineLvl w:val="0"/>
      </w:pPr>
    </w:p>
    <w:p w:rsidR="008A0439" w:rsidRDefault="008A0439">
      <w:pPr>
        <w:pStyle w:val="ConsPlusTitle"/>
        <w:jc w:val="center"/>
        <w:outlineLvl w:val="0"/>
      </w:pPr>
      <w:r>
        <w:t>ПРЕДСТАВИТЕЛЬНОЕ СОБРАНИЕ</w:t>
      </w:r>
    </w:p>
    <w:p w:rsidR="008A0439" w:rsidRDefault="008A0439">
      <w:pPr>
        <w:pStyle w:val="ConsPlusTitle"/>
        <w:jc w:val="center"/>
      </w:pPr>
      <w:r>
        <w:t>КУРЧАТОВСКОГО РАЙОНА</w:t>
      </w:r>
    </w:p>
    <w:p w:rsidR="008A0439" w:rsidRDefault="008A0439">
      <w:pPr>
        <w:pStyle w:val="ConsPlusTitle"/>
        <w:jc w:val="center"/>
      </w:pPr>
      <w:r>
        <w:t>КУРСКОЙ ОБЛАСТИ</w:t>
      </w:r>
    </w:p>
    <w:p w:rsidR="008A0439" w:rsidRDefault="008A0439">
      <w:pPr>
        <w:pStyle w:val="ConsPlusTitle"/>
        <w:jc w:val="center"/>
      </w:pPr>
    </w:p>
    <w:p w:rsidR="008A0439" w:rsidRDefault="008A0439">
      <w:pPr>
        <w:pStyle w:val="ConsPlusTitle"/>
        <w:jc w:val="center"/>
      </w:pPr>
      <w:r>
        <w:t>РЕШЕНИЕ</w:t>
      </w:r>
    </w:p>
    <w:p w:rsidR="008A0439" w:rsidRDefault="008A0439">
      <w:pPr>
        <w:pStyle w:val="ConsPlusTitle"/>
        <w:jc w:val="center"/>
      </w:pPr>
      <w:r>
        <w:t>от 29 апреля 2011 г. N 126-II</w:t>
      </w:r>
    </w:p>
    <w:p w:rsidR="008A0439" w:rsidRDefault="008A0439">
      <w:pPr>
        <w:pStyle w:val="ConsPlusTitle"/>
        <w:jc w:val="center"/>
      </w:pPr>
    </w:p>
    <w:p w:rsidR="008A0439" w:rsidRDefault="008A0439">
      <w:pPr>
        <w:pStyle w:val="ConsPlusTitle"/>
        <w:jc w:val="center"/>
      </w:pPr>
      <w:r>
        <w:t>ОБ АНТИКОРРУПЦИОННОЙ ЭКСПЕРТИЗЕ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  <w:r>
        <w:t xml:space="preserve">В целях выявления в муниципальных правовых актах, их проектах положений, способствующих созданию условий для проявления коррупции, а также 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Закона</w:t>
        </w:r>
      </w:hyperlink>
      <w:r>
        <w:t xml:space="preserve"> Курской области от 11.11.2008 N 85-ЗКО "О противодействии коррупции в Курской области", </w:t>
      </w:r>
      <w:hyperlink r:id="rId9" w:history="1">
        <w:r>
          <w:rPr>
            <w:color w:val="0000FF"/>
          </w:rPr>
          <w:t>ст. 7.1</w:t>
        </w:r>
      </w:hyperlink>
      <w:r>
        <w:t xml:space="preserve"> Устава муниципального района "Курчатовский район" Курской области Представительное Собрание Курчатовского района Курской области решило: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муниципальных правовых актов муниципального района "Курчатовский район", их проектов (приложение).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 Контроль за исполнением настоящего решения возложить на комиссию по правовым вопросам Представительного Собрания Курчатовского района (Л.А. Голенков).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Решение</w:t>
        </w:r>
      </w:hyperlink>
      <w:r>
        <w:t xml:space="preserve"> Представительного Собрания Курчатовского района Курской области от 30.04.2009 N 380 "Об экспертизе на коррупциогенность" отменить.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4. Настоящее решение вступает в силу со дня подписания и подлежит официальному опубликованию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jc w:val="right"/>
      </w:pPr>
      <w:r>
        <w:t>Глава района</w:t>
      </w:r>
    </w:p>
    <w:p w:rsidR="008A0439" w:rsidRDefault="008A0439">
      <w:pPr>
        <w:pStyle w:val="ConsPlusNormal"/>
        <w:jc w:val="right"/>
      </w:pPr>
      <w:r>
        <w:t>А.В.ЯРЫГИН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jc w:val="right"/>
        <w:outlineLvl w:val="0"/>
      </w:pPr>
      <w:r>
        <w:t>Приложение</w:t>
      </w:r>
    </w:p>
    <w:p w:rsidR="008A0439" w:rsidRDefault="008A0439">
      <w:pPr>
        <w:pStyle w:val="ConsPlusNormal"/>
        <w:jc w:val="right"/>
      </w:pPr>
      <w:r>
        <w:t>к решению</w:t>
      </w:r>
    </w:p>
    <w:p w:rsidR="008A0439" w:rsidRDefault="008A0439">
      <w:pPr>
        <w:pStyle w:val="ConsPlusNormal"/>
        <w:jc w:val="right"/>
      </w:pPr>
      <w:r>
        <w:t>Представительного Собрания</w:t>
      </w:r>
    </w:p>
    <w:p w:rsidR="008A0439" w:rsidRDefault="008A0439">
      <w:pPr>
        <w:pStyle w:val="ConsPlusNormal"/>
        <w:jc w:val="right"/>
      </w:pPr>
      <w:r>
        <w:t>Курчатовского района Курской области</w:t>
      </w:r>
    </w:p>
    <w:p w:rsidR="008A0439" w:rsidRDefault="008A0439">
      <w:pPr>
        <w:pStyle w:val="ConsPlusNormal"/>
        <w:jc w:val="right"/>
      </w:pPr>
      <w:r>
        <w:t>от 29 апреля 2011 г. N 126-II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Title"/>
        <w:jc w:val="center"/>
      </w:pPr>
      <w:bookmarkStart w:id="1" w:name="P29"/>
      <w:bookmarkEnd w:id="1"/>
      <w:r>
        <w:t>ПОРЯДОК</w:t>
      </w:r>
    </w:p>
    <w:p w:rsidR="008A0439" w:rsidRDefault="008A0439">
      <w:pPr>
        <w:pStyle w:val="ConsPlusTitle"/>
        <w:jc w:val="center"/>
      </w:pPr>
      <w:r>
        <w:t>ПРОВЕДЕНИЯ АНТИКОРРУПЦИОННОЙ ЭКСПЕРТИЗЫ МУНИЦИПАЛЬНЫХ</w:t>
      </w:r>
    </w:p>
    <w:p w:rsidR="008A0439" w:rsidRDefault="008A0439">
      <w:pPr>
        <w:pStyle w:val="ConsPlusTitle"/>
        <w:jc w:val="center"/>
      </w:pPr>
      <w:r>
        <w:t>ПРАВОВЫХ АКТОВ МУНИЦИПАЛЬНОГО РАЙОНА "КУРЧАТОВСКИЙ РАЙОН",</w:t>
      </w:r>
    </w:p>
    <w:p w:rsidR="008A0439" w:rsidRDefault="008A0439">
      <w:pPr>
        <w:pStyle w:val="ConsPlusTitle"/>
        <w:jc w:val="center"/>
      </w:pPr>
      <w:r>
        <w:t>ИХ ПРОЕКТОВ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jc w:val="center"/>
        <w:outlineLvl w:val="1"/>
      </w:pPr>
      <w:r>
        <w:t>1. Общие положения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  <w:r>
        <w:t xml:space="preserve">1.1. Основной задачей применения настоящего Порядка проведения антикоррупционной </w:t>
      </w:r>
      <w:r>
        <w:lastRenderedPageBreak/>
        <w:t>экспертизы муниципальных правовых актов и их проектов (далее - Порядок) является обеспечение проведения экспертизы муниципальных правовых актов муниципального района "Курчатовский район", их проектов (далее - акта) в целях выявления в актах положений, способствующих созданию условий для проявления коррупции, и предотвращения включения в них указанных положений (далее - антикоррупционная экспертиза).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1.2. В настоящем Порядке определяются правила предупреждения и выявления при подготовке и принятии актов коррупциогенных факторов и коррупционных норм.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1.3. Коррупционными факторами являются положения актов (проектов актов), устанавливающие для правоприменителя необоснованные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1.4. Коррупционными нормами признаются положения актов, содержащие коррупциогенные факторы.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jc w:val="center"/>
        <w:outlineLvl w:val="1"/>
      </w:pPr>
      <w:r>
        <w:t>2. Основные правила проведения антикоррупционной экспертизы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  <w:r>
        <w:t>2.1. Эффективность проведения антикоррупционной экспертизы определяется ее системностью, достоверностью и проверяемостью результатов.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2.2. Для обеспечения системности, достоверности и проверяемости результатов антикоррупционной экспертизы необходимо проводить экспертизу каждой нормы акта на коррупциогенность и излагать ее результаты единообразно с учетом состава и последовательности коррупциогенных факторов.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2.3. Акты, прошедшие согласование в установленном Порядке, представляются для антикоррупционной экспертизы в Правовое управление Администрации Курчатовского района Курской области.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2.4. Антикоррупционная экспертиза актов проводится в срок до 3 (трех) рабочих дней со дня поступления акта на экспертизу.</w:t>
      </w:r>
    </w:p>
    <w:p w:rsidR="008A0439" w:rsidRDefault="008A04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A04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0439" w:rsidRDefault="008A043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0439" w:rsidRDefault="008A043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раздела 2 дана в соответствии с официальным текстом документа.</w:t>
            </w:r>
          </w:p>
        </w:tc>
      </w:tr>
    </w:tbl>
    <w:p w:rsidR="008A0439" w:rsidRDefault="008A0439">
      <w:pPr>
        <w:pStyle w:val="ConsPlusNormal"/>
        <w:spacing w:before="280"/>
        <w:ind w:firstLine="540"/>
        <w:jc w:val="both"/>
      </w:pPr>
      <w:r>
        <w:t>2.3. По результатам антикоррупционной экспертизы составляется заключение, в котором должны быть отражены следующие вопросы: наличие или отсутствие в представленном акте признаков коррупционности и (или) соответствующих коррупциогенных факторов; рекомендации по устранению факторов коррупциогенности акта с указанием структурных единиц акта (разделы, главы, статьи, части, пункты, подпункты, абзацы).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2.3.1. В заключении могут быть отражены возможные негативные последствия сохранения в проекте акта выявленных коррупциогенных факторов.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2.4. Выявленные при проведении антикоррупционной экспертизы положения, не относящиеся в соответствии с настоящим Порядком к коррупциогенным факторам, но которые могут способствовать созданию условий для проявления коррупции, указываются в заключении.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2.5. При наличии в проекте акта коррупциогенных факторов он возвращается на доработку, после чего подлежит повторной антикоррупционной экспертизе.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jc w:val="center"/>
        <w:outlineLvl w:val="1"/>
      </w:pPr>
      <w:r>
        <w:lastRenderedPageBreak/>
        <w:t>3. Коррупциогенные факторы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  <w:r>
        <w:t>3.1. Коррупциогенными факторами являются: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3.1.1. Факторы, связанные с реализацией полномочий органа местного самоуправления, выражаются в: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определении компетенции по формуле "вправе"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злоупотреблении правом заявителя органами местного самоуправления (их должностными лицами) - отсутствии четкой регламентации прав граждан и организаций;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чрезмерной свободе подзаконного нормотворчества - наличии бланкетных и отсылочных норм, приводящей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принятии за пределами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3.1.2. Факторы, связанные с правовыми пробелами, свидетельствуют об отсутствии правового регулирования некоторых вопросов в проекте акта и выражаются в: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отсутствии административных процедур;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отказе от конкурсных (аукционных) процедур - закреплении административного порядка предоставления права (блага);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отсутствии запретов и ограничений для органов местного самоуправления (их должностных лиц) - отсутствии превентивных антикоррупционных норм, определяющих статус муниципальных служащих в коррупциогенных отраслях;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 xml:space="preserve">- отсутствии мер ответственности органов местного самоуправления (их должностных лиц) - отсутствии норм о юридической ответственности служащих, а также норм об обжаловании их </w:t>
      </w:r>
      <w:r>
        <w:lastRenderedPageBreak/>
        <w:t>действий (бездействия) и решений;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отсутствии указания на формы, виды контроля за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(их должностных лиц, муниципальных служащих);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нарушении режима прозрачности информации - отсутствии норм, предусматривающих раскрытие информации о деятельности органов местного самоуправления (их должностных лиц), и порядка получения информации по запросам граждан и организаций.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3.1.3. Факторами системного характера являются факторы, обнаружить которые можно при комплексном анализе проекта документа, - нормативные коллизии:</w:t>
      </w:r>
    </w:p>
    <w:p w:rsidR="008A0439" w:rsidRDefault="008A0439">
      <w:pPr>
        <w:pStyle w:val="ConsPlusNormal"/>
        <w:spacing w:before="220"/>
        <w:ind w:firstLine="540"/>
        <w:jc w:val="both"/>
      </w:pPr>
      <w:r>
        <w:t>-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в конкретном случае. 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ind w:firstLine="540"/>
        <w:jc w:val="both"/>
      </w:pPr>
    </w:p>
    <w:p w:rsidR="008A0439" w:rsidRDefault="008A04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B43" w:rsidRDefault="004C5B43"/>
    <w:sectPr w:rsidR="004C5B43" w:rsidSect="002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39"/>
    <w:rsid w:val="004C5B43"/>
    <w:rsid w:val="008A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E958-B256-4E55-BA6F-98780AC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0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0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308C3BC4F1E9D65311DC0919DE91FA64F64D7E1250386F77D229CF37BEC462BBC61B74D15A18D9A2F36FE1AF71018xEV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4308C3BC4F1E9D653103CD87F1B313A3463ADBE6260BD6AD2279C1A472E6117EF360EB0946B28D9A2F34F805xFV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308C3BC4F1E9D653103CD87F1B313A24432D2E6220BD6AD2279C1A472E6117EF360EB0946B28D9A2F34F805xFV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4308C3BC4F1E9D653103CD87F1B313A2453ADBE4200BD6AD2279C1A472E6117EF360EB0946B28D9A2F34F805xFVCH" TargetMode="External"/><Relationship Id="rId10" Type="http://schemas.openxmlformats.org/officeDocument/2006/relationships/hyperlink" Target="consultantplus://offline/ref=284308C3BC4F1E9D65311DC0919DE91FA64F64D7E62C0686F77D229CF37BEC462BBC61B74D15A18D9A2F36FE1AF71018xEV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84308C3BC4F1E9D65311DC0919DE91FA64F64D7E12C0688F17D229CF37BEC462BBC61A54D4DAD8D9C3532FB0FA1415DB905C69C5C9840EE1B7899xF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2019-06-06T07:21:00Z</dcterms:created>
  <dcterms:modified xsi:type="dcterms:W3CDTF">2019-06-06T07:23:00Z</dcterms:modified>
</cp:coreProperties>
</file>