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8" w:rsidRPr="00570538" w:rsidRDefault="00570538" w:rsidP="00361ED8">
      <w:pPr>
        <w:jc w:val="center"/>
        <w:rPr>
          <w:rFonts w:ascii="Times New Roman" w:eastAsia="Times New Roman" w:hAnsi="Times New Roman" w:cs="Times New Roman"/>
          <w:sz w:val="28"/>
          <w:szCs w:val="28"/>
          <w:lang w:eastAsia="ru-RU"/>
        </w:rPr>
      </w:pPr>
      <w:r>
        <w:rPr>
          <w:rFonts w:ascii="Calibri" w:eastAsia="Times New Roman" w:hAnsi="Calibri" w:cs="Times New Roman"/>
          <w:color w:val="7F7F7F" w:themeColor="text1" w:themeTint="80"/>
          <w:sz w:val="28"/>
          <w:szCs w:val="28"/>
          <w:lang w:eastAsia="ru-RU"/>
        </w:rPr>
        <w:t xml:space="preserve">                           </w:t>
      </w:r>
      <w:r w:rsidR="00361ED8" w:rsidRPr="00570538">
        <w:rPr>
          <w:rFonts w:ascii="Times New Roman" w:eastAsia="Times New Roman" w:hAnsi="Times New Roman" w:cs="Times New Roman"/>
          <w:sz w:val="28"/>
          <w:szCs w:val="28"/>
          <w:lang w:eastAsia="ru-RU"/>
        </w:rPr>
        <w:t xml:space="preserve">                                                              </w:t>
      </w:r>
      <w:r w:rsidR="00361ED8" w:rsidRPr="00570538">
        <w:rPr>
          <w:rFonts w:ascii="Times New Roman" w:eastAsia="Times New Roman" w:hAnsi="Times New Roman" w:cs="Times New Roman"/>
          <w:sz w:val="28"/>
          <w:szCs w:val="28"/>
          <w:lang w:eastAsia="ru-RU"/>
        </w:rPr>
        <w:tab/>
      </w:r>
      <w:r w:rsidR="00361ED8" w:rsidRPr="00570538">
        <w:rPr>
          <w:rFonts w:ascii="Times New Roman" w:eastAsia="Times New Roman" w:hAnsi="Times New Roman" w:cs="Times New Roman"/>
          <w:sz w:val="28"/>
          <w:szCs w:val="28"/>
          <w:lang w:eastAsia="ru-RU"/>
        </w:rPr>
        <w:tab/>
        <w:t xml:space="preserve">             </w:t>
      </w:r>
      <w:r w:rsidR="00361ED8" w:rsidRPr="00570538">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10C651D0" wp14:editId="233D613F">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t xml:space="preserve">              </w:t>
      </w:r>
    </w:p>
    <w:p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rsidR="00361ED8" w:rsidRPr="005F7697" w:rsidRDefault="00361ED8" w:rsidP="00B55BBE">
      <w:pPr>
        <w:jc w:val="center"/>
        <w:rPr>
          <w:rFonts w:ascii="Times New Roman" w:eastAsia="Times New Roman" w:hAnsi="Times New Roman" w:cs="Times New Roman"/>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proofErr w:type="gramStart"/>
      <w:r w:rsidRPr="00361ED8">
        <w:rPr>
          <w:rFonts w:ascii="Times New Roman" w:eastAsia="Times New Roman" w:hAnsi="Times New Roman" w:cs="Times New Roman"/>
          <w:b/>
          <w:sz w:val="40"/>
          <w:szCs w:val="40"/>
          <w:lang w:eastAsia="ru-RU"/>
        </w:rPr>
        <w:t>П</w:t>
      </w:r>
      <w:proofErr w:type="gramEnd"/>
      <w:r w:rsidRPr="00361ED8">
        <w:rPr>
          <w:rFonts w:ascii="Times New Roman" w:eastAsia="Times New Roman" w:hAnsi="Times New Roman" w:cs="Times New Roman"/>
          <w:b/>
          <w:sz w:val="40"/>
          <w:szCs w:val="40"/>
          <w:lang w:eastAsia="ru-RU"/>
        </w:rPr>
        <w:t xml:space="preserve"> О С Т А Н О В Л Е Н И Е</w:t>
      </w:r>
    </w:p>
    <w:p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BA3816">
        <w:rPr>
          <w:rFonts w:ascii="Times New Roman" w:eastAsia="Times New Roman" w:hAnsi="Times New Roman" w:cs="Times New Roman"/>
          <w:bCs/>
          <w:sz w:val="24"/>
          <w:szCs w:val="24"/>
          <w:lang w:eastAsia="ru-RU"/>
        </w:rPr>
        <w:t>____</w:t>
      </w:r>
      <w:r w:rsidR="0096795C" w:rsidRPr="0096795C">
        <w:rPr>
          <w:rFonts w:ascii="Times New Roman" w:eastAsia="Times New Roman" w:hAnsi="Times New Roman" w:cs="Times New Roman"/>
          <w:bCs/>
          <w:sz w:val="24"/>
          <w:szCs w:val="24"/>
          <w:u w:val="single"/>
          <w:lang w:eastAsia="ru-RU"/>
        </w:rPr>
        <w:t>10.09.2021г.</w:t>
      </w:r>
      <w:r w:rsidR="00BA3816">
        <w:rPr>
          <w:rFonts w:ascii="Times New Roman" w:eastAsia="Times New Roman" w:hAnsi="Times New Roman" w:cs="Times New Roman"/>
          <w:bCs/>
          <w:sz w:val="24"/>
          <w:szCs w:val="24"/>
          <w:lang w:eastAsia="ru-RU"/>
        </w:rPr>
        <w:t>__</w:t>
      </w:r>
      <w:r w:rsidRPr="00361ED8">
        <w:rPr>
          <w:rFonts w:ascii="Times New Roman" w:eastAsia="Times New Roman" w:hAnsi="Times New Roman" w:cs="Times New Roman"/>
          <w:bCs/>
          <w:sz w:val="24"/>
          <w:szCs w:val="24"/>
          <w:lang w:eastAsia="ru-RU"/>
        </w:rPr>
        <w:t xml:space="preserve">  № </w:t>
      </w:r>
      <w:r w:rsidRPr="00361ED8">
        <w:rPr>
          <w:rFonts w:ascii="Times New Roman" w:eastAsia="Times New Roman" w:hAnsi="Times New Roman" w:cs="Times New Roman"/>
          <w:bCs/>
          <w:sz w:val="24"/>
          <w:szCs w:val="24"/>
          <w:u w:val="single"/>
          <w:lang w:eastAsia="ru-RU"/>
        </w:rPr>
        <w:t xml:space="preserve"> </w:t>
      </w:r>
      <w:r w:rsidR="00BA3816">
        <w:rPr>
          <w:rFonts w:ascii="Times New Roman" w:eastAsia="Times New Roman" w:hAnsi="Times New Roman" w:cs="Times New Roman"/>
          <w:bCs/>
          <w:sz w:val="24"/>
          <w:szCs w:val="24"/>
          <w:u w:val="single"/>
          <w:lang w:eastAsia="ru-RU"/>
        </w:rPr>
        <w:t xml:space="preserve">  </w:t>
      </w:r>
      <w:r w:rsidR="0096795C">
        <w:rPr>
          <w:rFonts w:ascii="Times New Roman" w:eastAsia="Times New Roman" w:hAnsi="Times New Roman" w:cs="Times New Roman"/>
          <w:bCs/>
          <w:sz w:val="24"/>
          <w:szCs w:val="24"/>
          <w:u w:val="single"/>
          <w:lang w:eastAsia="ru-RU"/>
        </w:rPr>
        <w:t>729</w:t>
      </w:r>
      <w:r w:rsidRPr="00361ED8">
        <w:rPr>
          <w:rFonts w:ascii="Times New Roman" w:eastAsia="Times New Roman" w:hAnsi="Times New Roman" w:cs="Times New Roman"/>
          <w:bCs/>
          <w:sz w:val="24"/>
          <w:szCs w:val="24"/>
          <w:u w:val="single"/>
          <w:lang w:eastAsia="ru-RU"/>
        </w:rPr>
        <w:t xml:space="preserve">  </w:t>
      </w:r>
      <w:r w:rsidRPr="00361ED8">
        <w:rPr>
          <w:rFonts w:ascii="Times New Roman" w:eastAsia="Times New Roman" w:hAnsi="Times New Roman" w:cs="Times New Roman"/>
          <w:bCs/>
          <w:color w:val="FFFFFF"/>
          <w:sz w:val="24"/>
          <w:szCs w:val="24"/>
          <w:u w:val="single"/>
          <w:lang w:eastAsia="ru-RU"/>
        </w:rPr>
        <w:t>.</w:t>
      </w:r>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361ED8">
      <w:pPr>
        <w:tabs>
          <w:tab w:val="left" w:pos="4662"/>
        </w:tabs>
        <w:ind w:right="5242"/>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31.08.2018 г.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ind w:firstLine="708"/>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 xml:space="preserve">В соответствии с </w:t>
      </w:r>
      <w:r w:rsidR="005F7697" w:rsidRPr="00361ED8">
        <w:rPr>
          <w:rFonts w:ascii="Times New Roman" w:eastAsia="Times New Roman" w:hAnsi="Times New Roman" w:cs="Times New Roman"/>
          <w:bCs/>
          <w:sz w:val="24"/>
          <w:szCs w:val="24"/>
          <w:lang w:eastAsia="ru-RU"/>
        </w:rPr>
        <w:t xml:space="preserve">Решением Представительного Собрания Курчатовского района Курской области от </w:t>
      </w:r>
      <w:r w:rsidR="001F43FD">
        <w:rPr>
          <w:rFonts w:ascii="Times New Roman" w:eastAsia="Times New Roman" w:hAnsi="Times New Roman" w:cs="Times New Roman"/>
          <w:bCs/>
          <w:sz w:val="24"/>
          <w:szCs w:val="24"/>
          <w:lang w:eastAsia="ru-RU"/>
        </w:rPr>
        <w:t>27.07</w:t>
      </w:r>
      <w:r w:rsidR="00BE201C">
        <w:rPr>
          <w:rFonts w:ascii="Times New Roman" w:eastAsia="Times New Roman" w:hAnsi="Times New Roman" w:cs="Times New Roman"/>
          <w:bCs/>
          <w:sz w:val="24"/>
          <w:szCs w:val="24"/>
          <w:lang w:eastAsia="ru-RU"/>
        </w:rPr>
        <w:t>.2021</w:t>
      </w:r>
      <w:r w:rsidR="000C4B24">
        <w:rPr>
          <w:rFonts w:ascii="Times New Roman" w:eastAsia="Times New Roman" w:hAnsi="Times New Roman" w:cs="Times New Roman"/>
          <w:bCs/>
          <w:sz w:val="24"/>
          <w:szCs w:val="24"/>
          <w:lang w:eastAsia="ru-RU"/>
        </w:rPr>
        <w:t xml:space="preserve"> года </w:t>
      </w:r>
      <w:r w:rsidR="001F43FD">
        <w:rPr>
          <w:rFonts w:ascii="Times New Roman" w:eastAsia="Times New Roman" w:hAnsi="Times New Roman" w:cs="Times New Roman"/>
          <w:bCs/>
          <w:sz w:val="24"/>
          <w:szCs w:val="24"/>
          <w:lang w:eastAsia="ru-RU"/>
        </w:rPr>
        <w:t>№ 196</w:t>
      </w:r>
      <w:r w:rsidR="005F7697" w:rsidRPr="00361ED8">
        <w:rPr>
          <w:rFonts w:ascii="Times New Roman" w:eastAsia="Times New Roman" w:hAnsi="Times New Roman" w:cs="Times New Roman"/>
          <w:bCs/>
          <w:sz w:val="24"/>
          <w:szCs w:val="24"/>
          <w:lang w:eastAsia="ru-RU"/>
        </w:rPr>
        <w:t>-I</w:t>
      </w:r>
      <w:r w:rsidR="005F7697" w:rsidRPr="00361ED8">
        <w:rPr>
          <w:rFonts w:ascii="Times New Roman" w:eastAsia="Times New Roman" w:hAnsi="Times New Roman" w:cs="Times New Roman"/>
          <w:bCs/>
          <w:sz w:val="24"/>
          <w:szCs w:val="24"/>
          <w:lang w:val="en-US" w:eastAsia="ru-RU"/>
        </w:rPr>
        <w:t>V</w:t>
      </w:r>
      <w:r w:rsidR="005F7697" w:rsidRPr="00361ED8">
        <w:rPr>
          <w:rFonts w:ascii="Times New Roman" w:eastAsia="Times New Roman" w:hAnsi="Times New Roman" w:cs="Times New Roman"/>
          <w:bCs/>
          <w:sz w:val="24"/>
          <w:szCs w:val="24"/>
          <w:lang w:eastAsia="ru-RU"/>
        </w:rPr>
        <w:t xml:space="preserve"> «О внесении изменений и дополнений в решение Представительского Собрания Курчатовского района Курской области от </w:t>
      </w:r>
      <w:r w:rsidR="00BE201C">
        <w:rPr>
          <w:rFonts w:ascii="Times New Roman" w:eastAsia="Times New Roman" w:hAnsi="Times New Roman" w:cs="Times New Roman"/>
          <w:bCs/>
          <w:sz w:val="24"/>
          <w:szCs w:val="24"/>
          <w:lang w:eastAsia="ru-RU"/>
        </w:rPr>
        <w:t>10.12.2020</w:t>
      </w:r>
      <w:r w:rsidR="005F7697" w:rsidRPr="00361ED8">
        <w:rPr>
          <w:rFonts w:ascii="Times New Roman" w:eastAsia="Times New Roman" w:hAnsi="Times New Roman" w:cs="Times New Roman"/>
          <w:bCs/>
          <w:sz w:val="24"/>
          <w:szCs w:val="24"/>
          <w:lang w:eastAsia="ru-RU"/>
        </w:rPr>
        <w:t xml:space="preserve"> года № </w:t>
      </w:r>
      <w:r w:rsidR="00BE201C">
        <w:rPr>
          <w:rFonts w:ascii="Times New Roman" w:eastAsia="Times New Roman" w:hAnsi="Times New Roman" w:cs="Times New Roman"/>
          <w:bCs/>
          <w:sz w:val="24"/>
          <w:szCs w:val="24"/>
          <w:lang w:eastAsia="ru-RU"/>
        </w:rPr>
        <w:t>153</w:t>
      </w:r>
      <w:r w:rsidR="005F7697" w:rsidRPr="00361ED8">
        <w:rPr>
          <w:rFonts w:ascii="Times New Roman" w:eastAsia="Times New Roman" w:hAnsi="Times New Roman" w:cs="Times New Roman"/>
          <w:bCs/>
          <w:sz w:val="24"/>
          <w:szCs w:val="24"/>
          <w:lang w:eastAsia="ru-RU"/>
        </w:rPr>
        <w:t>-I</w:t>
      </w:r>
      <w:r w:rsidR="005F7697" w:rsidRPr="00361ED8">
        <w:rPr>
          <w:rFonts w:ascii="Times New Roman" w:eastAsia="Times New Roman" w:hAnsi="Times New Roman" w:cs="Times New Roman"/>
          <w:bCs/>
          <w:sz w:val="24"/>
          <w:szCs w:val="24"/>
          <w:lang w:val="en-US" w:eastAsia="ru-RU"/>
        </w:rPr>
        <w:t>V</w:t>
      </w:r>
      <w:r w:rsidR="005F7697" w:rsidRPr="00361ED8">
        <w:rPr>
          <w:rFonts w:ascii="Times New Roman" w:eastAsia="Times New Roman" w:hAnsi="Times New Roman" w:cs="Times New Roman"/>
          <w:bCs/>
          <w:sz w:val="24"/>
          <w:szCs w:val="24"/>
          <w:lang w:eastAsia="ru-RU"/>
        </w:rPr>
        <w:t xml:space="preserve"> «О бюджете муниципального района «Курчатовски</w:t>
      </w:r>
      <w:r w:rsidR="00BE201C">
        <w:rPr>
          <w:rFonts w:ascii="Times New Roman" w:eastAsia="Times New Roman" w:hAnsi="Times New Roman" w:cs="Times New Roman"/>
          <w:bCs/>
          <w:sz w:val="24"/>
          <w:szCs w:val="24"/>
          <w:lang w:eastAsia="ru-RU"/>
        </w:rPr>
        <w:t>й район» Курской области на 2021 год и на плановый период 2022 и 2023</w:t>
      </w:r>
      <w:r w:rsidR="005F7697" w:rsidRPr="00361ED8">
        <w:rPr>
          <w:rFonts w:ascii="Times New Roman" w:eastAsia="Times New Roman" w:hAnsi="Times New Roman" w:cs="Times New Roman"/>
          <w:bCs/>
          <w:sz w:val="24"/>
          <w:szCs w:val="24"/>
          <w:lang w:eastAsia="ru-RU"/>
        </w:rPr>
        <w:t xml:space="preserve"> годов»</w:t>
      </w:r>
      <w:r w:rsidR="005F7697">
        <w:rPr>
          <w:rFonts w:ascii="Times New Roman" w:eastAsia="Times New Roman" w:hAnsi="Times New Roman" w:cs="Times New Roman"/>
          <w:bCs/>
          <w:sz w:val="24"/>
          <w:szCs w:val="24"/>
          <w:lang w:eastAsia="ru-RU"/>
        </w:rPr>
        <w:t xml:space="preserve"> а также</w:t>
      </w:r>
      <w:r w:rsidR="008436E6">
        <w:rPr>
          <w:rFonts w:ascii="Times New Roman" w:eastAsia="Times New Roman" w:hAnsi="Times New Roman" w:cs="Times New Roman"/>
          <w:bCs/>
          <w:sz w:val="24"/>
          <w:szCs w:val="24"/>
          <w:lang w:eastAsia="ru-RU"/>
        </w:rPr>
        <w:t xml:space="preserve"> </w:t>
      </w:r>
      <w:r w:rsidRPr="00361ED8">
        <w:rPr>
          <w:rFonts w:ascii="Times New Roman" w:eastAsia="Times New Roman" w:hAnsi="Times New Roman" w:cs="Times New Roman"/>
          <w:bCs/>
          <w:sz w:val="24"/>
          <w:szCs w:val="24"/>
          <w:lang w:eastAsia="ru-RU"/>
        </w:rPr>
        <w:t>ст.43 Федерального Закона от 06.10.2003г. № 131-ФЗ</w:t>
      </w:r>
      <w:proofErr w:type="gramEnd"/>
      <w:r w:rsidRPr="00361ED8">
        <w:rPr>
          <w:rFonts w:ascii="Times New Roman" w:eastAsia="Times New Roman" w:hAnsi="Times New Roman" w:cs="Times New Roman"/>
          <w:bCs/>
          <w:sz w:val="24"/>
          <w:szCs w:val="24"/>
          <w:lang w:eastAsia="ru-RU"/>
        </w:rPr>
        <w:t xml:space="preserve"> «Об общих принципах организации местного самоуправления в Российской Федерации», Администрация 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P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Приложение к Постановлению Администрации Курчатовского района Курской области от 31.08.2018 года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0174D2" w:rsidRPr="000174D2">
        <w:rPr>
          <w:rFonts w:ascii="Times New Roman" w:eastAsia="Times New Roman" w:hAnsi="Times New Roman" w:cs="Times New Roman"/>
          <w:sz w:val="24"/>
          <w:szCs w:val="24"/>
          <w:lang w:eastAsia="ru-RU"/>
        </w:rPr>
        <w:t>08.04.</w:t>
      </w:r>
      <w:r w:rsidR="00BE201C" w:rsidRPr="000174D2">
        <w:rPr>
          <w:rFonts w:ascii="Times New Roman" w:eastAsia="Times New Roman" w:hAnsi="Times New Roman" w:cs="Times New Roman"/>
          <w:sz w:val="24"/>
          <w:szCs w:val="24"/>
          <w:lang w:eastAsia="ru-RU"/>
        </w:rPr>
        <w:t>2021</w:t>
      </w:r>
      <w:r w:rsidR="00202D6A" w:rsidRPr="000174D2">
        <w:rPr>
          <w:rFonts w:ascii="Times New Roman" w:eastAsia="Times New Roman" w:hAnsi="Times New Roman" w:cs="Times New Roman"/>
          <w:sz w:val="24"/>
          <w:szCs w:val="24"/>
          <w:lang w:eastAsia="ru-RU"/>
        </w:rPr>
        <w:t xml:space="preserve"> г. №</w:t>
      </w:r>
      <w:r w:rsidR="00977031" w:rsidRPr="000174D2">
        <w:rPr>
          <w:rFonts w:ascii="Times New Roman" w:eastAsia="Times New Roman" w:hAnsi="Times New Roman" w:cs="Times New Roman"/>
          <w:sz w:val="24"/>
          <w:szCs w:val="24"/>
          <w:lang w:eastAsia="ru-RU"/>
        </w:rPr>
        <w:t xml:space="preserve"> </w:t>
      </w:r>
      <w:r w:rsidR="000174D2" w:rsidRPr="000174D2">
        <w:rPr>
          <w:rFonts w:ascii="Times New Roman" w:eastAsia="Times New Roman" w:hAnsi="Times New Roman" w:cs="Times New Roman"/>
          <w:sz w:val="24"/>
          <w:szCs w:val="24"/>
          <w:lang w:eastAsia="ru-RU"/>
        </w:rPr>
        <w:t xml:space="preserve">283 </w:t>
      </w:r>
      <w:r w:rsidRPr="00361ED8">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w:t>
      </w:r>
      <w:r w:rsidR="003466A3" w:rsidRPr="00361ED8">
        <w:rPr>
          <w:rFonts w:ascii="Times New Roman" w:eastAsia="Times New Roman" w:hAnsi="Times New Roman" w:cs="Times New Roman"/>
          <w:sz w:val="24"/>
          <w:szCs w:val="24"/>
          <w:lang w:eastAsia="ru-RU"/>
        </w:rPr>
        <w:t xml:space="preserve">31.08.2018 г. № 818 </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отменить.</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Управлению делами Администрации Курчатовского района Курской области (Я.Ф. 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DC26EC" w:rsidRPr="00361ED8" w:rsidRDefault="00DC26EC" w:rsidP="00DC26EC">
      <w:pPr>
        <w:spacing w:after="200"/>
        <w:contextualSpacing/>
        <w:jc w:val="both"/>
        <w:rPr>
          <w:rFonts w:ascii="Times New Roman" w:eastAsia="Times New Roman" w:hAnsi="Times New Roman" w:cs="Times New Roman"/>
          <w:sz w:val="24"/>
          <w:szCs w:val="24"/>
          <w:lang w:eastAsia="ru-RU"/>
        </w:rPr>
      </w:pPr>
    </w:p>
    <w:p w:rsidR="00054963" w:rsidRPr="00B55BBE" w:rsidRDefault="00361ED8" w:rsidP="005F7697">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p>
    <w:p w:rsidR="00054963" w:rsidRPr="00361ED8" w:rsidRDefault="008436E6" w:rsidP="00054963">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sidR="00346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46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Ярыгин</w:t>
      </w:r>
    </w:p>
    <w:p w:rsidR="00BC474C" w:rsidRPr="00361ED8" w:rsidRDefault="00361ED8" w:rsidP="00361ED8">
      <w:pPr>
        <w:tabs>
          <w:tab w:val="left" w:pos="4678"/>
        </w:tabs>
        <w:ind w:right="5101"/>
        <w:jc w:val="both"/>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                                                                          </w:t>
      </w:r>
    </w:p>
    <w:p w:rsidR="00E2340D" w:rsidRDefault="00E2340D"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r w:rsidRPr="00361ED8">
        <w:rPr>
          <w:rFonts w:ascii="Times New Roman" w:eastAsia="Times New Roman" w:hAnsi="Times New Roman" w:cs="Times New Roman"/>
          <w:b/>
          <w:bCs/>
          <w:sz w:val="20"/>
          <w:szCs w:val="20"/>
          <w:lang w:eastAsia="ru-RU"/>
        </w:rPr>
        <w:lastRenderedPageBreak/>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96795C">
        <w:rPr>
          <w:rFonts w:ascii="Times New Roman" w:eastAsia="Times New Roman" w:hAnsi="Times New Roman" w:cs="Times New Roman"/>
          <w:bCs/>
          <w:sz w:val="20"/>
          <w:szCs w:val="20"/>
          <w:lang w:eastAsia="ru-RU"/>
        </w:rPr>
        <w:t>т ___</w:t>
      </w:r>
      <w:bookmarkStart w:id="0" w:name="_GoBack"/>
      <w:r w:rsidR="0096795C" w:rsidRPr="0096795C">
        <w:rPr>
          <w:rFonts w:ascii="Times New Roman" w:eastAsia="Times New Roman" w:hAnsi="Times New Roman" w:cs="Times New Roman"/>
          <w:bCs/>
          <w:sz w:val="20"/>
          <w:szCs w:val="20"/>
          <w:u w:val="single"/>
          <w:lang w:eastAsia="ru-RU"/>
        </w:rPr>
        <w:t>10.09.2021г.</w:t>
      </w:r>
      <w:bookmarkEnd w:id="0"/>
      <w:r w:rsidR="0096795C">
        <w:rPr>
          <w:rFonts w:ascii="Times New Roman" w:eastAsia="Times New Roman" w:hAnsi="Times New Roman" w:cs="Times New Roman"/>
          <w:bCs/>
          <w:sz w:val="20"/>
          <w:szCs w:val="20"/>
          <w:lang w:eastAsia="ru-RU"/>
        </w:rPr>
        <w:t>___ № _</w:t>
      </w:r>
      <w:r w:rsidR="0096795C" w:rsidRPr="0096795C">
        <w:rPr>
          <w:rFonts w:ascii="Times New Roman" w:eastAsia="Times New Roman" w:hAnsi="Times New Roman" w:cs="Times New Roman"/>
          <w:bCs/>
          <w:sz w:val="20"/>
          <w:szCs w:val="20"/>
          <w:u w:val="single"/>
          <w:lang w:eastAsia="ru-RU"/>
        </w:rPr>
        <w:t>729</w:t>
      </w:r>
      <w:r w:rsidRPr="00361ED8">
        <w:rPr>
          <w:rFonts w:ascii="Times New Roman" w:eastAsia="Times New Roman" w:hAnsi="Times New Roman" w:cs="Times New Roman"/>
          <w:bCs/>
          <w:sz w:val="20"/>
          <w:szCs w:val="20"/>
          <w:lang w:eastAsia="ru-RU"/>
        </w:rPr>
        <w:t>__</w:t>
      </w:r>
    </w:p>
    <w:p w:rsidR="00361ED8" w:rsidRPr="00361ED8" w:rsidRDefault="00361ED8" w:rsidP="00DC26EC">
      <w:pPr>
        <w:autoSpaceDE w:val="0"/>
        <w:autoSpaceDN w:val="0"/>
        <w:adjustRightInd w:val="0"/>
        <w:jc w:val="both"/>
        <w:rPr>
          <w:rFonts w:ascii="Times New Roman" w:eastAsia="Times New Roman" w:hAnsi="Times New Roman" w:cs="Times New Roman"/>
          <w:b/>
          <w:bCs/>
          <w:sz w:val="24"/>
          <w:szCs w:val="24"/>
          <w:lang w:eastAsia="ru-RU"/>
        </w:rPr>
      </w:pP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(далее – Программа)</w:t>
      </w:r>
    </w:p>
    <w:p w:rsidR="00361ED8" w:rsidRPr="00361ED8" w:rsidRDefault="00361ED8" w:rsidP="00361ED8">
      <w:pPr>
        <w:autoSpaceDE w:val="0"/>
        <w:autoSpaceDN w:val="0"/>
        <w:adjustRightInd w:val="0"/>
        <w:jc w:val="center"/>
        <w:rPr>
          <w:rFonts w:ascii="Calibri" w:eastAsia="Times New Roman" w:hAnsi="Calibri" w:cs="Times New Roman"/>
          <w:lang w:eastAsia="ru-RU"/>
        </w:rPr>
      </w:pPr>
    </w:p>
    <w:tbl>
      <w:tblPr>
        <w:tblW w:w="10206" w:type="dxa"/>
        <w:tblInd w:w="-459" w:type="dxa"/>
        <w:tblLook w:val="01E0" w:firstRow="1" w:lastRow="1" w:firstColumn="1" w:lastColumn="1" w:noHBand="0" w:noVBand="0"/>
      </w:tblPr>
      <w:tblGrid>
        <w:gridCol w:w="2383"/>
        <w:gridCol w:w="78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8B4393">
              <w:rPr>
                <w:rFonts w:ascii="Times New Roman" w:eastAsia="Times New Roman" w:hAnsi="Times New Roman" w:cs="Times New Roman"/>
                <w:sz w:val="24"/>
                <w:szCs w:val="24"/>
                <w:lang w:eastAsia="ru-RU"/>
              </w:rPr>
              <w:t>комитет природопользования</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0"/>
                <w:szCs w:val="20"/>
                <w:lang w:eastAsia="ru-RU"/>
              </w:rPr>
              <w:t xml:space="preserve">- </w:t>
            </w:r>
            <w:r w:rsidRPr="00361ED8">
              <w:rPr>
                <w:rFonts w:ascii="Times New Roman" w:eastAsia="Times New Roman" w:hAnsi="Times New Roman" w:cs="Times New Roman"/>
                <w:sz w:val="24"/>
                <w:szCs w:val="24"/>
                <w:lang w:eastAsia="ru-RU"/>
              </w:rPr>
              <w:t>количество отремонтированных объектов водоснабжения муниципальной собственности</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этапы и сроки реализации 2019 – 2025 годы;</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и областного бюджета составит </w:t>
            </w:r>
            <w:r w:rsidRPr="00361ED8">
              <w:rPr>
                <w:rFonts w:ascii="Times New Roman" w:eastAsia="Times New Roman" w:hAnsi="Times New Roman" w:cs="Times New Roman"/>
                <w:color w:val="FF0000"/>
                <w:sz w:val="24"/>
                <w:szCs w:val="24"/>
                <w:lang w:eastAsia="ru-RU"/>
              </w:rPr>
              <w:t xml:space="preserve">– </w:t>
            </w:r>
            <w:r w:rsidR="001F43FD">
              <w:rPr>
                <w:rFonts w:ascii="Times New Roman" w:eastAsia="Times New Roman" w:hAnsi="Times New Roman" w:cs="Times New Roman"/>
                <w:color w:val="FF0000"/>
                <w:sz w:val="24"/>
                <w:szCs w:val="24"/>
                <w:lang w:eastAsia="ru-RU"/>
              </w:rPr>
              <w:t>7 047 031,31</w:t>
            </w:r>
            <w:r w:rsidRPr="00361ED8">
              <w:rPr>
                <w:rFonts w:ascii="Times New Roman" w:eastAsia="Times New Roman" w:hAnsi="Times New Roman" w:cs="Times New Roman"/>
                <w:color w:val="FF0000"/>
                <w:sz w:val="24"/>
                <w:szCs w:val="24"/>
                <w:lang w:eastAsia="ru-RU"/>
              </w:rPr>
              <w:t xml:space="preserve"> рублей, из них:</w:t>
            </w:r>
          </w:p>
          <w:p w:rsidR="00361ED8" w:rsidRPr="00141AA9" w:rsidRDefault="00361ED8" w:rsidP="00361ED8">
            <w:pPr>
              <w:spacing w:line="276" w:lineRule="auto"/>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361ED8" w:rsidRPr="00AB22A0" w:rsidRDefault="00361ED8" w:rsidP="00361ED8">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 xml:space="preserve">2020 год – </w:t>
            </w:r>
            <w:r w:rsidR="00500FA6" w:rsidRPr="00AB22A0">
              <w:rPr>
                <w:rFonts w:ascii="Times New Roman" w:eastAsia="Times New Roman" w:hAnsi="Times New Roman" w:cs="Times New Roman"/>
                <w:color w:val="000000" w:themeColor="text1"/>
                <w:sz w:val="24"/>
                <w:szCs w:val="24"/>
                <w:lang w:eastAsia="ru-RU"/>
              </w:rPr>
              <w:t>2</w:t>
            </w:r>
            <w:r w:rsidR="005F211A" w:rsidRPr="00AB22A0">
              <w:rPr>
                <w:rFonts w:ascii="Times New Roman" w:eastAsia="Times New Roman" w:hAnsi="Times New Roman" w:cs="Times New Roman"/>
                <w:color w:val="000000" w:themeColor="text1"/>
                <w:sz w:val="24"/>
                <w:szCs w:val="24"/>
                <w:lang w:eastAsia="ru-RU"/>
              </w:rPr>
              <w:t> 077 663,94</w:t>
            </w:r>
            <w:r w:rsidRPr="00AB22A0">
              <w:rPr>
                <w:rFonts w:ascii="Times New Roman" w:eastAsia="Times New Roman" w:hAnsi="Times New Roman" w:cs="Times New Roman"/>
                <w:color w:val="000000" w:themeColor="text1"/>
                <w:sz w:val="24"/>
                <w:szCs w:val="24"/>
                <w:lang w:eastAsia="ru-RU"/>
              </w:rPr>
              <w:t xml:space="preserve"> рублей;</w:t>
            </w:r>
          </w:p>
          <w:p w:rsidR="00361ED8" w:rsidRPr="00AB22A0" w:rsidRDefault="00361ED8" w:rsidP="00361ED8">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E2340D">
              <w:rPr>
                <w:rFonts w:ascii="Times New Roman" w:eastAsia="Times New Roman" w:hAnsi="Times New Roman" w:cs="Times New Roman"/>
                <w:color w:val="FF0000"/>
                <w:sz w:val="24"/>
                <w:szCs w:val="24"/>
                <w:lang w:eastAsia="ru-RU"/>
              </w:rPr>
              <w:t>4</w:t>
            </w:r>
            <w:r w:rsidR="001F43FD">
              <w:rPr>
                <w:rFonts w:ascii="Times New Roman" w:eastAsia="Times New Roman" w:hAnsi="Times New Roman" w:cs="Times New Roman"/>
                <w:color w:val="FF0000"/>
                <w:sz w:val="24"/>
                <w:szCs w:val="24"/>
                <w:lang w:eastAsia="ru-RU"/>
              </w:rPr>
              <w:t> 772 905,90</w:t>
            </w:r>
            <w:r w:rsidRPr="00AB22A0">
              <w:rPr>
                <w:rFonts w:ascii="Times New Roman" w:eastAsia="Times New Roman" w:hAnsi="Times New Roman" w:cs="Times New Roman"/>
                <w:color w:val="FF0000"/>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Default="001F43FD" w:rsidP="008E7DF5">
            <w:pPr>
              <w:jc w:val="both"/>
              <w:rPr>
                <w:rFonts w:ascii="Times New Roman" w:eastAsia="Times New Roman" w:hAnsi="Times New Roman" w:cs="Times New Roman"/>
                <w:sz w:val="24"/>
                <w:szCs w:val="24"/>
                <w:lang w:eastAsia="ru-RU"/>
              </w:rPr>
            </w:pPr>
            <w:r w:rsidRPr="001F43FD">
              <w:rPr>
                <w:rFonts w:ascii="Times New Roman" w:eastAsia="Times New Roman" w:hAnsi="Times New Roman" w:cs="Times New Roman"/>
                <w:color w:val="FF0000"/>
                <w:sz w:val="24"/>
                <w:szCs w:val="24"/>
                <w:lang w:eastAsia="ru-RU"/>
              </w:rPr>
              <w:t xml:space="preserve">7 047 031,31 </w:t>
            </w:r>
            <w:r w:rsidR="008E7DF5" w:rsidRPr="008E7DF5">
              <w:rPr>
                <w:rFonts w:ascii="Times New Roman" w:eastAsia="Times New Roman" w:hAnsi="Times New Roman" w:cs="Times New Roman"/>
                <w:sz w:val="24"/>
                <w:szCs w:val="24"/>
                <w:lang w:eastAsia="ru-RU"/>
              </w:rPr>
              <w:t>рублей, в том числе по годам:</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2019 год – 196 461,47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2020 год – 2 077 663,94 рублей;</w:t>
            </w:r>
          </w:p>
          <w:p w:rsidR="008E7DF5" w:rsidRPr="000C4B24" w:rsidRDefault="008E7DF5" w:rsidP="008E7DF5">
            <w:pPr>
              <w:jc w:val="both"/>
              <w:rPr>
                <w:rFonts w:ascii="Times New Roman" w:eastAsia="Times New Roman" w:hAnsi="Times New Roman" w:cs="Times New Roman"/>
                <w:color w:val="FF0000"/>
                <w:sz w:val="24"/>
                <w:szCs w:val="24"/>
                <w:lang w:eastAsia="ru-RU"/>
              </w:rPr>
            </w:pPr>
            <w:r w:rsidRPr="000C4B24">
              <w:rPr>
                <w:rFonts w:ascii="Times New Roman" w:eastAsia="Times New Roman" w:hAnsi="Times New Roman" w:cs="Times New Roman"/>
                <w:color w:val="FF0000"/>
                <w:sz w:val="24"/>
                <w:szCs w:val="24"/>
                <w:lang w:eastAsia="ru-RU"/>
              </w:rPr>
              <w:t xml:space="preserve">2021 год – </w:t>
            </w:r>
            <w:r w:rsidR="001F43FD" w:rsidRPr="001F43FD">
              <w:rPr>
                <w:rFonts w:ascii="Times New Roman" w:eastAsia="Times New Roman" w:hAnsi="Times New Roman" w:cs="Times New Roman"/>
                <w:color w:val="FF0000"/>
                <w:sz w:val="24"/>
                <w:szCs w:val="24"/>
                <w:lang w:eastAsia="ru-RU"/>
              </w:rPr>
              <w:t xml:space="preserve">4 772 905,90 </w:t>
            </w:r>
            <w:r w:rsidRPr="000C4B24">
              <w:rPr>
                <w:rFonts w:ascii="Times New Roman" w:eastAsia="Times New Roman" w:hAnsi="Times New Roman" w:cs="Times New Roman"/>
                <w:color w:val="FF0000"/>
                <w:sz w:val="24"/>
                <w:szCs w:val="24"/>
                <w:lang w:eastAsia="ru-RU"/>
              </w:rPr>
              <w:t>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2022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2023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2024 год – 0 рублей;</w:t>
            </w:r>
          </w:p>
          <w:p w:rsidR="008E7DF5" w:rsidRPr="00361ED8"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2025 год – 0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 финансирования 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361ED8">
        <w:rPr>
          <w:rFonts w:ascii="Times New Roman" w:eastAsia="Times New Roman" w:hAnsi="Times New Roman" w:cs="Times New Roman"/>
          <w:sz w:val="24"/>
          <w:szCs w:val="24"/>
          <w:lang w:eastAsia="ru-RU"/>
        </w:rPr>
        <w:t>водоподающих</w:t>
      </w:r>
      <w:proofErr w:type="spellEnd"/>
      <w:r w:rsidRPr="00361ED8">
        <w:rPr>
          <w:rFonts w:ascii="Times New Roman" w:eastAsia="Times New Roman" w:hAnsi="Times New Roman" w:cs="Times New Roman"/>
          <w:sz w:val="24"/>
          <w:szCs w:val="24"/>
          <w:lang w:eastAsia="ru-RU"/>
        </w:rPr>
        <w:t xml:space="preserve"> сетей.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за пределы области на утилизацию (размещение).</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w:t>
      </w:r>
      <w:proofErr w:type="spellStart"/>
      <w:r w:rsidRPr="00361ED8">
        <w:rPr>
          <w:rFonts w:ascii="Times New Roman" w:eastAsia="Times New Roman" w:hAnsi="Times New Roman" w:cs="Times New Roman"/>
          <w:sz w:val="24"/>
          <w:szCs w:val="24"/>
          <w:lang w:eastAsia="ru-RU"/>
        </w:rPr>
        <w:t>недропользователей</w:t>
      </w:r>
      <w:proofErr w:type="spellEnd"/>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w:t>
      </w:r>
      <w:r w:rsidRPr="00361ED8">
        <w:rPr>
          <w:rFonts w:ascii="Times New Roman" w:eastAsia="Times New Roman" w:hAnsi="Times New Roman" w:cs="Times New Roman"/>
          <w:sz w:val="24"/>
          <w:szCs w:val="24"/>
          <w:lang w:eastAsia="ru-RU"/>
        </w:rPr>
        <w:lastRenderedPageBreak/>
        <w:t xml:space="preserve">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10"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снижение антропогенной нагрузки и загрязнения водных объектов, улучшение </w:t>
      </w:r>
      <w:r w:rsidRPr="00361ED8">
        <w:rPr>
          <w:rFonts w:ascii="Times New Roman" w:eastAsia="Times New Roman" w:hAnsi="Times New Roman" w:cs="Times New Roman"/>
          <w:sz w:val="24"/>
          <w:szCs w:val="24"/>
          <w:lang w:eastAsia="ru-RU"/>
        </w:rPr>
        <w:lastRenderedPageBreak/>
        <w:t>состояния и восстановление водных объектов и их экосистем;</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roofErr w:type="gramEnd"/>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Срок реализации Программы – 2019 - 2025 годы. Этапы реализации Программы не выделяются.</w:t>
      </w: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Показателями (индикаторами) реализации Программы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1. Количество созданных особо охраняемых природных территорий;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2.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3.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4.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5.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rsidR="00361ED8" w:rsidRPr="00361ED8" w:rsidRDefault="00361ED8" w:rsidP="00361ED8">
      <w:pPr>
        <w:jc w:val="both"/>
        <w:rPr>
          <w:rFonts w:ascii="Times New Roman" w:eastAsia="Times New Roman" w:hAnsi="Times New Roman" w:cs="Times New Roman"/>
          <w:b/>
          <w:sz w:val="24"/>
          <w:szCs w:val="24"/>
          <w:lang w:eastAsia="ru-RU"/>
        </w:rPr>
      </w:pPr>
    </w:p>
    <w:p w:rsidR="00361ED8" w:rsidRP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мер муниципального регулирования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b/>
          <w:bCs/>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4B5232" w:rsidP="00361ED8">
      <w:pPr>
        <w:ind w:firstLine="540"/>
        <w:jc w:val="both"/>
        <w:rPr>
          <w:rFonts w:ascii="Times New Roman" w:eastAsia="Times New Roman" w:hAnsi="Times New Roman" w:cs="Times New Roman"/>
          <w:sz w:val="24"/>
          <w:szCs w:val="24"/>
          <w:lang w:eastAsia="ru-RU"/>
        </w:rPr>
      </w:pPr>
      <w:hyperlink r:id="rId11"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p>
    <w:p w:rsidR="00361ED8" w:rsidRPr="00361ED8" w:rsidRDefault="00361ED8" w:rsidP="00361ED8">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361ED8" w:rsidRDefault="00361ED8" w:rsidP="00361ED8">
      <w:pPr>
        <w:autoSpaceDE w:val="0"/>
        <w:jc w:val="left"/>
        <w:rPr>
          <w:rFonts w:ascii="Times New Roman" w:eastAsia="Times New Roman" w:hAnsi="Times New Roman" w:cs="Times New Roman"/>
          <w:b/>
          <w:sz w:val="24"/>
          <w:szCs w:val="24"/>
          <w:lang w:eastAsia="ru-RU"/>
        </w:rPr>
      </w:pP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w:t>
      </w:r>
      <w:proofErr w:type="gramStart"/>
      <w:r w:rsidRPr="00361ED8">
        <w:rPr>
          <w:rFonts w:ascii="Times New Roman" w:eastAsia="Times New Roman" w:hAnsi="Times New Roman" w:cs="Times New Roman"/>
          <w:b/>
          <w:sz w:val="24"/>
          <w:szCs w:val="24"/>
          <w:lang w:eastAsia="ru-RU"/>
        </w:rPr>
        <w:t>для</w:t>
      </w:r>
      <w:proofErr w:type="gramEnd"/>
      <w:r w:rsidRPr="00361ED8">
        <w:rPr>
          <w:rFonts w:ascii="Times New Roman" w:eastAsia="Times New Roman" w:hAnsi="Times New Roman" w:cs="Times New Roman"/>
          <w:b/>
          <w:sz w:val="24"/>
          <w:szCs w:val="24"/>
          <w:lang w:eastAsia="ru-RU"/>
        </w:rPr>
        <w:t xml:space="preserve"> </w:t>
      </w:r>
    </w:p>
    <w:p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Общий объем финансирования Программы в 2019 - 2025 годах за счет средств районного и областного бюджета составит </w:t>
      </w:r>
      <w:r w:rsidR="001F43FD" w:rsidRPr="001F43FD">
        <w:rPr>
          <w:rFonts w:ascii="Times New Roman" w:eastAsia="Times New Roman" w:hAnsi="Times New Roman" w:cs="Times New Roman"/>
          <w:color w:val="FF0000"/>
          <w:sz w:val="24"/>
          <w:szCs w:val="24"/>
          <w:lang w:eastAsia="ru-RU"/>
        </w:rPr>
        <w:t xml:space="preserve">7 047 031,31 </w:t>
      </w:r>
      <w:r w:rsidRPr="00361ED8">
        <w:rPr>
          <w:rFonts w:ascii="Times New Roman" w:eastAsia="Times New Roman" w:hAnsi="Times New Roman" w:cs="Times New Roman"/>
          <w:color w:val="FF0000"/>
          <w:sz w:val="24"/>
          <w:szCs w:val="24"/>
          <w:lang w:eastAsia="ru-RU"/>
        </w:rPr>
        <w:t>рублей, из них:</w:t>
      </w:r>
    </w:p>
    <w:p w:rsidR="00361ED8" w:rsidRPr="00141AA9" w:rsidRDefault="00361ED8" w:rsidP="00361ED8">
      <w:pPr>
        <w:spacing w:line="276" w:lineRule="auto"/>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2020 год – 2 077 663,94 рублей;</w:t>
      </w: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w:t>
      </w:r>
      <w:r w:rsidR="001F43FD">
        <w:rPr>
          <w:rFonts w:ascii="Times New Roman" w:eastAsia="Times New Roman" w:hAnsi="Times New Roman" w:cs="Times New Roman"/>
          <w:color w:val="FF0000"/>
          <w:sz w:val="24"/>
          <w:szCs w:val="24"/>
          <w:lang w:eastAsia="ru-RU"/>
        </w:rPr>
        <w:t> 772 905,90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w:t>
      </w:r>
      <w:r w:rsidRPr="00361ED8">
        <w:rPr>
          <w:rFonts w:ascii="Times New Roman" w:eastAsia="Times New Roman" w:hAnsi="Times New Roman" w:cs="Times New Roman"/>
          <w:sz w:val="24"/>
          <w:szCs w:val="24"/>
          <w:lang w:eastAsia="ru-RU"/>
        </w:rPr>
        <w:lastRenderedPageBreak/>
        <w:t>(индикаторов).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2"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Pr>
          <w:rFonts w:ascii="Times New Roman" w:eastAsia="Times New Roman" w:hAnsi="Times New Roman" w:cs="Times New Roman"/>
          <w:sz w:val="24"/>
          <w:szCs w:val="24"/>
          <w:lang w:eastAsia="ru-RU"/>
        </w:rPr>
        <w:t xml:space="preserve">           (таблица № 6)</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12. Оценка </w:t>
      </w:r>
      <w:proofErr w:type="gramStart"/>
      <w:r w:rsidRPr="00361ED8">
        <w:rPr>
          <w:rFonts w:ascii="Times New Roman" w:eastAsia="Times New Roman" w:hAnsi="Times New Roman" w:cs="Times New Roman"/>
          <w:b/>
          <w:sz w:val="24"/>
          <w:szCs w:val="24"/>
          <w:lang w:eastAsia="ru-RU"/>
        </w:rPr>
        <w:t>степени влияния выделения дополнительных объемов ресурсов</w:t>
      </w:r>
      <w:proofErr w:type="gramEnd"/>
      <w:r w:rsidRPr="00361ED8">
        <w:rPr>
          <w:rFonts w:ascii="Times New Roman" w:eastAsia="Times New Roman" w:hAnsi="Times New Roman" w:cs="Times New Roman"/>
          <w:b/>
          <w:sz w:val="24"/>
          <w:szCs w:val="24"/>
          <w:lang w:eastAsia="ru-RU"/>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361ED8">
        <w:rPr>
          <w:rFonts w:ascii="Times New Roman" w:eastAsia="Times New Roman" w:hAnsi="Times New Roman" w:cs="Times New Roman"/>
          <w:bCs/>
          <w:sz w:val="24"/>
          <w:szCs w:val="24"/>
          <w:lang w:eastAsia="ru-RU"/>
        </w:rPr>
        <w:t xml:space="preserve"> в данной сфере.</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spellStart"/>
      <w:r w:rsidRPr="00361ED8">
        <w:rPr>
          <w:rFonts w:ascii="Times New Roman" w:eastAsia="Times New Roman" w:hAnsi="Times New Roman" w:cs="Times New Roman"/>
          <w:bCs/>
          <w:sz w:val="24"/>
          <w:szCs w:val="24"/>
          <w:lang w:eastAsia="ru-RU"/>
        </w:rPr>
        <w:t>Недополучение</w:t>
      </w:r>
      <w:proofErr w:type="spellEnd"/>
      <w:r w:rsidRPr="00361ED8">
        <w:rPr>
          <w:rFonts w:ascii="Times New Roman" w:eastAsia="Times New Roman" w:hAnsi="Times New Roman" w:cs="Times New Roman"/>
          <w:bCs/>
          <w:sz w:val="24"/>
          <w:szCs w:val="24"/>
          <w:lang w:eastAsia="ru-RU"/>
        </w:rPr>
        <w:t xml:space="preserve"> средств бюджета приведет к снижению качества выполняемых полномочий в сфере охраны окружающей среды.</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 xml:space="preserve">Данные риски можно минимизировать за счет своевременного </w:t>
      </w:r>
      <w:proofErr w:type="gramStart"/>
      <w:r w:rsidRPr="00361ED8">
        <w:rPr>
          <w:rFonts w:ascii="Times New Roman" w:eastAsia="Times New Roman" w:hAnsi="Times New Roman" w:cs="Times New Roman"/>
          <w:bCs/>
          <w:sz w:val="24"/>
          <w:szCs w:val="24"/>
          <w:lang w:eastAsia="ru-RU"/>
        </w:rPr>
        <w:t>контроля за</w:t>
      </w:r>
      <w:proofErr w:type="gramEnd"/>
      <w:r w:rsidRPr="00361ED8">
        <w:rPr>
          <w:rFonts w:ascii="Times New Roman" w:eastAsia="Times New Roman" w:hAnsi="Times New Roman" w:cs="Times New Roman"/>
          <w:bCs/>
          <w:sz w:val="24"/>
          <w:szCs w:val="24"/>
          <w:lang w:eastAsia="ru-RU"/>
        </w:rPr>
        <w:t xml:space="preserve"> ходом выполнения муниципальной программы и совершенствования механизма текущего управления ее реализацией.</w:t>
      </w: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Оценка эффективности проведена в соответствии с типовой методикой </w:t>
      </w:r>
      <w:proofErr w:type="gramStart"/>
      <w:r w:rsidRPr="00361ED8">
        <w:rPr>
          <w:rFonts w:ascii="Times New Roman" w:eastAsia="Times New Roman" w:hAnsi="Times New Roman" w:cs="Times New Roman"/>
          <w:szCs w:val="20"/>
          <w:lang w:eastAsia="ru-RU"/>
        </w:rPr>
        <w:t>проведения оценки эффективности реализации муниципальных программ</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 Оценка эффективности реализации муниципальной программы производится ежегодно. </w:t>
      </w:r>
      <w:r w:rsidRPr="00361ED8">
        <w:rPr>
          <w:rFonts w:ascii="Times New Roman" w:eastAsia="Times New Roman" w:hAnsi="Times New Roman" w:cs="Times New Roman"/>
          <w:szCs w:val="20"/>
          <w:lang w:eastAsia="ru-RU"/>
        </w:rPr>
        <w:lastRenderedPageBreak/>
        <w:t>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СДП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степень достижения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Зф</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фактическое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плановое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Если при расчете степени достижения показателя муниципальной программы, значение </w:t>
      </w:r>
      <w:proofErr w:type="spellStart"/>
      <w:r w:rsidRPr="00361ED8">
        <w:rPr>
          <w:rFonts w:ascii="yandex-sans" w:eastAsia="Times New Roman" w:hAnsi="yandex-sans" w:cs="Times New Roman"/>
          <w:color w:val="000000"/>
          <w:sz w:val="23"/>
          <w:szCs w:val="23"/>
          <w:lang w:eastAsia="ru-RU"/>
        </w:rPr>
        <w:t>СДП</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w:t>
      </w:r>
      <w:proofErr w:type="gramStart"/>
      <w:r w:rsidRPr="00361ED8">
        <w:rPr>
          <w:rFonts w:ascii="yandex-sans" w:eastAsia="Times New Roman" w:hAnsi="yandex-sans" w:cs="Times New Roman"/>
          <w:color w:val="000000"/>
          <w:sz w:val="23"/>
          <w:szCs w:val="23"/>
          <w:lang w:eastAsia="ru-RU"/>
        </w:rPr>
        <w:t>дств кр</w:t>
      </w:r>
      <w:proofErr w:type="gramEnd"/>
      <w:r w:rsidRPr="00361ED8">
        <w:rPr>
          <w:rFonts w:ascii="yandex-sans" w:eastAsia="Times New Roman" w:hAnsi="yandex-sans" w:cs="Times New Roman"/>
          <w:color w:val="000000"/>
          <w:sz w:val="23"/>
          <w:szCs w:val="23"/>
          <w:lang w:eastAsia="ru-RU"/>
        </w:rPr>
        <w:t>аевого и федерального бюджетов):</w:t>
      </w:r>
    </w:p>
    <w:p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proofErr w:type="gramStart"/>
      <w:r w:rsidRPr="00361ED8">
        <w:rPr>
          <w:rFonts w:ascii="yandex-sans" w:eastAsia="Times New Roman" w:hAnsi="yandex-sans" w:cs="Times New Roman"/>
          <w:color w:val="000000"/>
          <w:sz w:val="16"/>
          <w:szCs w:val="16"/>
          <w:lang w:val="en-US" w:eastAsia="ru-RU"/>
        </w:rPr>
        <w:t>i</w:t>
      </w:r>
      <w:proofErr w:type="gramEnd"/>
      <w:r w:rsidRPr="00361ED8">
        <w:rPr>
          <w:rFonts w:ascii="yandex-sans" w:eastAsia="Times New Roman" w:hAnsi="yandex-sans" w:cs="Times New Roman"/>
          <w:color w:val="000000"/>
          <w:sz w:val="23"/>
          <w:szCs w:val="23"/>
          <w:lang w:eastAsia="ru-RU"/>
        </w:rPr>
        <w:t xml:space="preserve">  = Ф </w:t>
      </w:r>
      <w:proofErr w:type="spellStart"/>
      <w:r w:rsidRPr="00361ED8">
        <w:rPr>
          <w:rFonts w:ascii="yandex-sans" w:eastAsia="Times New Roman" w:hAnsi="yandex-sans" w:cs="Times New Roman"/>
          <w:color w:val="000000"/>
          <w:sz w:val="16"/>
          <w:szCs w:val="16"/>
          <w:lang w:eastAsia="ru-RU"/>
        </w:rPr>
        <w:t>ф</w:t>
      </w:r>
      <w:proofErr w:type="spellEnd"/>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Ф</w:t>
      </w:r>
      <w:proofErr w:type="gramStart"/>
      <w:r w:rsidRPr="00361ED8">
        <w:rPr>
          <w:rFonts w:ascii="yandex-sans" w:eastAsia="Times New Roman" w:hAnsi="yandex-sans" w:cs="Times New Roman"/>
          <w:color w:val="000000"/>
          <w:sz w:val="23"/>
          <w:szCs w:val="23"/>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П</w:t>
      </w:r>
      <w:proofErr w:type="gramStart"/>
      <w:r w:rsidRPr="00361ED8">
        <w:rPr>
          <w:rFonts w:ascii="yandex-sans" w:eastAsia="Times New Roman" w:hAnsi="yandex-sans" w:cs="Times New Roman"/>
          <w:color w:val="000000"/>
          <w:sz w:val="16"/>
          <w:szCs w:val="16"/>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i – ожидаемого целевого показателя программы. При условии </w:t>
      </w:r>
      <w:proofErr w:type="spellStart"/>
      <w:r w:rsidRPr="00361ED8">
        <w:rPr>
          <w:rFonts w:ascii="yandex-sans" w:eastAsia="Times New Roman" w:hAnsi="yandex-sans" w:cs="Times New Roman"/>
          <w:color w:val="000000"/>
          <w:sz w:val="23"/>
          <w:szCs w:val="23"/>
          <w:lang w:eastAsia="ru-RU"/>
        </w:rPr>
        <w:t>софинансирования</w:t>
      </w:r>
      <w:proofErr w:type="spellEnd"/>
      <w:r w:rsidRPr="00361ED8">
        <w:rPr>
          <w:rFonts w:ascii="yandex-sans" w:eastAsia="Times New Roman" w:hAnsi="yandex-sans" w:cs="Times New Roman"/>
          <w:color w:val="000000"/>
          <w:sz w:val="23"/>
          <w:szCs w:val="23"/>
          <w:lang w:eastAsia="ru-RU"/>
        </w:rPr>
        <w:t xml:space="preserve">                            (с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w:t>
      </w:r>
      <w:proofErr w:type="gramStart"/>
      <w:r w:rsidRPr="00361ED8">
        <w:rPr>
          <w:rFonts w:ascii="yandex-sans" w:eastAsia="Times New Roman" w:hAnsi="yandex-sans" w:cs="Times New Roman"/>
          <w:color w:val="000000"/>
          <w:sz w:val="23"/>
          <w:szCs w:val="23"/>
          <w:lang w:eastAsia="ru-RU"/>
        </w:rPr>
        <w:t>из</w:t>
      </w:r>
      <w:proofErr w:type="gramEnd"/>
      <w:r w:rsidRPr="00361ED8">
        <w:rPr>
          <w:rFonts w:ascii="yandex-sans" w:eastAsia="Times New Roman" w:hAnsi="yandex-sans" w:cs="Times New Roman"/>
          <w:color w:val="000000"/>
          <w:sz w:val="23"/>
          <w:szCs w:val="23"/>
          <w:lang w:eastAsia="ru-RU"/>
        </w:rPr>
        <w:t xml:space="preserve"> районного и</w:t>
      </w:r>
    </w:p>
    <w:p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областного бюджетов в бюджет Курчатовского района.</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Значение показателя</w:t>
      </w:r>
      <w:proofErr w:type="gramStart"/>
      <w:r w:rsidRPr="00361ED8">
        <w:rPr>
          <w:rFonts w:ascii="yandex-sans" w:eastAsia="Times New Roman" w:hAnsi="yandex-sans" w:cs="Times New Roman"/>
          <w:color w:val="000000"/>
          <w:sz w:val="23"/>
          <w:szCs w:val="23"/>
          <w:lang w:eastAsia="ru-RU"/>
        </w:rPr>
        <w:t xml:space="preserve"> У</w:t>
      </w:r>
      <w:proofErr w:type="gram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 </w:t>
      </w:r>
      <w:r w:rsidRPr="00361ED8">
        <w:rPr>
          <w:rFonts w:ascii="yandex-sans" w:eastAsia="Times New Roman" w:hAnsi="yandex-sans" w:cs="Times New Roman"/>
          <w:color w:val="000000"/>
          <w:sz w:val="23"/>
          <w:szCs w:val="23"/>
          <w:vertAlign w:val="subscript"/>
          <w:lang w:eastAsia="ru-RU"/>
        </w:rPr>
        <w:t>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У</w:t>
      </w:r>
      <w:proofErr w:type="gramEnd"/>
      <w:r w:rsidRPr="00361ED8">
        <w:rPr>
          <w:rFonts w:ascii="yandex-sans" w:eastAsia="Times New Roman" w:hAnsi="yandex-sans" w:cs="Times New Roman"/>
          <w:color w:val="000000"/>
          <w:sz w:val="23"/>
          <w:szCs w:val="23"/>
          <w:lang w:eastAsia="ru-RU"/>
        </w:rPr>
        <w:t xml:space="preserve"> </w:t>
      </w:r>
      <w:proofErr w:type="spellStart"/>
      <w:r w:rsidRPr="00361ED8">
        <w:rPr>
          <w:rFonts w:ascii="yandex-sans" w:eastAsia="Times New Roman" w:hAnsi="yandex-sans" w:cs="Times New Roman"/>
          <w:color w:val="000000"/>
          <w:sz w:val="23"/>
          <w:szCs w:val="23"/>
          <w:vertAlign w:val="subscript"/>
          <w:lang w:eastAsia="ru-RU"/>
        </w:rPr>
        <w:t>фi</w:t>
      </w:r>
      <w:proofErr w:type="spellEnd"/>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lastRenderedPageBreak/>
        <w:t xml:space="preserve">д) ОЭ </w:t>
      </w:r>
      <w:proofErr w:type="spellStart"/>
      <w:r w:rsidRPr="00361ED8">
        <w:rPr>
          <w:rFonts w:ascii="yandex-sans" w:eastAsia="Times New Roman" w:hAnsi="yandex-sans" w:cs="Times New Roman"/>
          <w:color w:val="000000"/>
          <w:sz w:val="23"/>
          <w:szCs w:val="23"/>
          <w:vertAlign w:val="subscript"/>
          <w:lang w:eastAsia="ru-RU"/>
        </w:rPr>
        <w:t>Пi</w:t>
      </w:r>
      <w:proofErr w:type="spell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УРП 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w:t>
      </w:r>
      <w:proofErr w:type="gramEnd"/>
      <w:r w:rsidRPr="00361ED8">
        <w:rPr>
          <w:rFonts w:ascii="yandex-sans" w:eastAsia="Times New Roman" w:hAnsi="yandex-sans" w:cs="Times New Roman"/>
          <w:color w:val="000000"/>
          <w:sz w:val="23"/>
          <w:szCs w:val="23"/>
          <w:lang w:eastAsia="ru-RU"/>
        </w:rPr>
        <w:t xml:space="preserve"> 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proofErr w:type="spellStart"/>
      <w:r w:rsidRPr="00361ED8">
        <w:rPr>
          <w:rFonts w:ascii="yandex-sans" w:eastAsia="Times New Roman" w:hAnsi="yandex-sans" w:cs="Times New Roman"/>
          <w:color w:val="000000"/>
          <w:sz w:val="23"/>
          <w:szCs w:val="23"/>
          <w:lang w:eastAsia="ru-RU"/>
        </w:rPr>
        <w:t>К</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коэффициент весомости ожидаемого целевого показателя программы</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proofErr w:type="gramStart"/>
      <w:r w:rsidRPr="00361ED8">
        <w:rPr>
          <w:rFonts w:ascii="yandex-sans" w:eastAsia="Times New Roman" w:hAnsi="yandex-sans" w:cs="Times New Roman"/>
          <w:color w:val="000000"/>
          <w:sz w:val="23"/>
          <w:szCs w:val="23"/>
          <w:lang w:val="en-US" w:eastAsia="ru-RU"/>
        </w:rPr>
        <w:t>n</w:t>
      </w:r>
      <w:proofErr w:type="gramEnd"/>
    </w:p>
    <w:p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val="en-US" w:eastAsia="ru-RU"/>
        </w:rPr>
        <w:t>i</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proofErr w:type="gramStart"/>
      <w:r w:rsidRPr="00361ED8">
        <w:rPr>
          <w:rFonts w:ascii="yandex-sans" w:eastAsia="Times New Roman" w:hAnsi="yandex-sans" w:cs="Times New Roman"/>
          <w:color w:val="000000"/>
          <w:sz w:val="23"/>
          <w:szCs w:val="23"/>
          <w:vertAlign w:val="subscript"/>
          <w:lang w:val="en-US" w:eastAsia="ru-RU"/>
        </w:rPr>
        <w:t>i</w:t>
      </w:r>
      <w:proofErr w:type="gramEnd"/>
      <w:r w:rsidRPr="00054963">
        <w:rPr>
          <w:rFonts w:ascii="yandex-sans" w:eastAsia="Times New Roman" w:hAnsi="yandex-sans" w:cs="Times New Roman"/>
          <w:color w:val="000000"/>
          <w:sz w:val="23"/>
          <w:szCs w:val="23"/>
          <w:lang w:val="en-US" w:eastAsia="ru-RU"/>
        </w:rPr>
        <w:t xml:space="preserve"> *100%</w:t>
      </w:r>
    </w:p>
    <w:p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степень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формировании </w:t>
      </w:r>
      <w:proofErr w:type="gramStart"/>
      <w:r w:rsidRPr="00361ED8">
        <w:rPr>
          <w:rFonts w:ascii="Times New Roman" w:eastAsia="Times New Roman" w:hAnsi="Times New Roman" w:cs="Times New Roman"/>
          <w:szCs w:val="20"/>
          <w:lang w:eastAsia="ru-RU"/>
        </w:rPr>
        <w:t>методики оценки эффективности реализации муниципальной программы</w:t>
      </w:r>
      <w:proofErr w:type="gramEnd"/>
      <w:r w:rsidRPr="00361ED8">
        <w:rPr>
          <w:rFonts w:ascii="Times New Roman" w:eastAsia="Times New Roman" w:hAnsi="Times New Roman" w:cs="Times New Roman"/>
          <w:szCs w:val="20"/>
          <w:lang w:eastAsia="ru-RU"/>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всех мероприятий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w:t>
      </w:r>
      <w:proofErr w:type="gramEnd"/>
      <w:r w:rsidRPr="00361ED8">
        <w:rPr>
          <w:rFonts w:ascii="Times New Roman" w:eastAsia="Times New Roman" w:hAnsi="Times New Roman" w:cs="Times New Roman"/>
          <w:szCs w:val="20"/>
          <w:lang w:eastAsia="ru-RU"/>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361ED8">
        <w:rPr>
          <w:rFonts w:ascii="Times New Roman" w:eastAsia="Times New Roman" w:hAnsi="Times New Roman" w:cs="Times New Roman"/>
          <w:szCs w:val="20"/>
          <w:lang w:eastAsia="ru-RU"/>
        </w:rPr>
        <w:t>&lt;1</w:t>
      </w:r>
      <w:proofErr w:type="gramStart"/>
      <w:r w:rsidRPr="00361ED8">
        <w:rPr>
          <w:rFonts w:ascii="Times New Roman" w:eastAsia="Times New Roman" w:hAnsi="Times New Roman" w:cs="Times New Roman"/>
          <w:szCs w:val="20"/>
          <w:lang w:eastAsia="ru-RU"/>
        </w:rPr>
        <w:t>&gt; В</w:t>
      </w:r>
      <w:proofErr w:type="gramEnd"/>
      <w:r w:rsidRPr="00361ED8">
        <w:rPr>
          <w:rFonts w:ascii="Times New Roman" w:eastAsia="Times New Roman" w:hAnsi="Times New Roman" w:cs="Times New Roman"/>
          <w:szCs w:val="20"/>
          <w:lang w:eastAsia="ru-RU"/>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w:t>
      </w:r>
      <w:r w:rsidRPr="00361ED8">
        <w:rPr>
          <w:rFonts w:ascii="Times New Roman" w:eastAsia="Times New Roman" w:hAnsi="Times New Roman" w:cs="Times New Roman"/>
          <w:szCs w:val="20"/>
          <w:lang w:eastAsia="ru-RU"/>
        </w:rPr>
        <w:lastRenderedPageBreak/>
        <w:t>установлена прямая связь между основными мероприятиями и показателями (индикаторами)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proofErr w:type="gramStart"/>
      <w:r w:rsidRPr="00361ED8">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361ED8">
        <w:rPr>
          <w:rFonts w:ascii="Times New Roman" w:eastAsia="Times New Roman" w:hAnsi="Times New Roman" w:cs="Times New Roman"/>
          <w:szCs w:val="20"/>
          <w:lang w:eastAsia="ru-RU"/>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lastRenderedPageBreak/>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п</w:t>
      </w:r>
      <w:proofErr w:type="spellEnd"/>
      <w:r w:rsidRPr="00361ED8">
        <w:rPr>
          <w:rFonts w:ascii="Times New Roman" w:eastAsia="Times New Roman" w:hAnsi="Times New Roman" w:cs="Times New Roman"/>
          <w:szCs w:val="20"/>
          <w:vertAlign w:val="subscript"/>
          <w:lang w:eastAsia="ru-RU"/>
        </w:rPr>
        <w:t>/</w:t>
      </w:r>
      <w:proofErr w:type="gramStart"/>
      <w:r w:rsidRPr="00361ED8">
        <w:rPr>
          <w:rFonts w:ascii="Times New Roman" w:eastAsia="Times New Roman" w:hAnsi="Times New Roman" w:cs="Times New Roman"/>
          <w:szCs w:val="20"/>
          <w:vertAlign w:val="subscript"/>
          <w:lang w:eastAsia="ru-RU"/>
        </w:rPr>
        <w:t>п</w:t>
      </w:r>
      <w:proofErr w:type="gramEnd"/>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определяется по формуле: </w:t>
      </w:r>
      <w:proofErr w:type="spellStart"/>
      <w:r w:rsidRPr="00361ED8">
        <w:rPr>
          <w:rFonts w:ascii="Times New Roman" w:eastAsia="Times New Roman" w:hAnsi="Times New Roman" w:cs="Times New Roman"/>
          <w:szCs w:val="20"/>
          <w:lang w:eastAsia="ru-RU"/>
        </w:rPr>
        <w:t>kj</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Ф</w:t>
      </w:r>
      <w:proofErr w:type="gramStart"/>
      <w:r w:rsidRPr="00361ED8">
        <w:rPr>
          <w:rFonts w:ascii="Times New Roman" w:eastAsia="Times New Roman" w:hAnsi="Times New Roman" w:cs="Times New Roman"/>
          <w:szCs w:val="20"/>
          <w:lang w:eastAsia="ru-RU"/>
        </w:rPr>
        <w:t>j</w:t>
      </w:r>
      <w:proofErr w:type="spellEnd"/>
      <w:proofErr w:type="gramEnd"/>
      <w:r w:rsidRPr="00361ED8">
        <w:rPr>
          <w:rFonts w:ascii="Times New Roman" w:eastAsia="Times New Roman" w:hAnsi="Times New Roman" w:cs="Times New Roman"/>
          <w:szCs w:val="20"/>
          <w:lang w:eastAsia="ru-RU"/>
        </w:rPr>
        <w:t xml:space="preserve"> / Ф, где </w:t>
      </w:r>
      <w:proofErr w:type="spellStart"/>
      <w:r w:rsidRPr="00361ED8">
        <w:rPr>
          <w:rFonts w:ascii="Times New Roman" w:eastAsia="Times New Roman" w:hAnsi="Times New Roman" w:cs="Times New Roman"/>
          <w:szCs w:val="20"/>
          <w:lang w:eastAsia="ru-RU"/>
        </w:rPr>
        <w:t>Ф</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241C42" w:rsidRDefault="00361ED8" w:rsidP="00361ED8">
      <w:pPr>
        <w:widowControl w:val="0"/>
        <w:jc w:val="center"/>
        <w:rPr>
          <w:rFonts w:ascii="Times New Roman" w:eastAsia="Times New Roman" w:hAnsi="Times New Roman" w:cs="Times New Roman"/>
          <w:b/>
          <w:i/>
          <w:sz w:val="24"/>
          <w:szCs w:val="24"/>
          <w:lang w:eastAsia="ru-RU"/>
        </w:rPr>
      </w:pPr>
      <w:proofErr w:type="gramStart"/>
      <w:r w:rsidRPr="00241C42">
        <w:rPr>
          <w:rFonts w:ascii="Times New Roman" w:eastAsia="Times New Roman" w:hAnsi="Times New Roman" w:cs="Times New Roman"/>
          <w:b/>
          <w:sz w:val="24"/>
          <w:szCs w:val="24"/>
          <w:lang w:eastAsia="ru-RU"/>
        </w:rPr>
        <w:lastRenderedPageBreak/>
        <w:t>П</w:t>
      </w:r>
      <w:proofErr w:type="gramEnd"/>
      <w:r w:rsidRPr="00241C42">
        <w:rPr>
          <w:rFonts w:ascii="Times New Roman" w:eastAsia="Times New Roman" w:hAnsi="Times New Roman" w:cs="Times New Roman"/>
          <w:b/>
          <w:sz w:val="24"/>
          <w:szCs w:val="24"/>
          <w:lang w:eastAsia="ru-RU"/>
        </w:rPr>
        <w:t xml:space="preserve"> А С П О Р Т</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rsidR="00241C42" w:rsidRPr="00241C42" w:rsidRDefault="00361ED8"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«Курчатовский район» Курской области»</w:t>
      </w:r>
      <w:r w:rsidR="00241C42" w:rsidRPr="00241C42">
        <w:rPr>
          <w:rFonts w:ascii="Times New Roman" w:eastAsia="Times New Roman" w:hAnsi="Times New Roman" w:cs="Times New Roman"/>
          <w:b/>
          <w:sz w:val="24"/>
          <w:szCs w:val="24"/>
          <w:lang w:eastAsia="ru-RU"/>
        </w:rPr>
        <w:t xml:space="preserve"> муниципальной программы Курчатовского района Курской области</w:t>
      </w:r>
    </w:p>
    <w:p w:rsidR="00241C42" w:rsidRPr="00241C42" w:rsidRDefault="00241C42" w:rsidP="00241C42">
      <w:pPr>
        <w:widowControl w:val="0"/>
        <w:jc w:val="center"/>
        <w:rPr>
          <w:rFonts w:ascii="Times New Roman" w:eastAsia="Times New Roman" w:hAnsi="Times New Roman" w:cs="Times New Roman"/>
          <w:b/>
          <w:bCs/>
          <w:sz w:val="24"/>
          <w:szCs w:val="24"/>
          <w:lang w:eastAsia="ru-RU"/>
        </w:rPr>
      </w:pPr>
      <w:r w:rsidRPr="00241C42">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361ED8" w:rsidRPr="00241C42" w:rsidRDefault="00241C42"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bCs/>
          <w:sz w:val="24"/>
          <w:szCs w:val="24"/>
          <w:lang w:eastAsia="ru-RU"/>
        </w:rPr>
        <w:t>Курской области»</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Администрация Курчатовского района Курской области</w:t>
            </w:r>
          </w:p>
        </w:tc>
      </w:tr>
      <w:tr w:rsidR="00361ED8" w:rsidRPr="00361ED8" w:rsidTr="00A934F9">
        <w:trPr>
          <w:trHeight w:val="1886"/>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Департамент экологической безопасности и природопользования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Комитет </w:t>
            </w:r>
            <w:proofErr w:type="gramStart"/>
            <w:r w:rsidRPr="00361ED8">
              <w:rPr>
                <w:rFonts w:ascii="Times New Roman" w:eastAsia="Times New Roman" w:hAnsi="Times New Roman" w:cs="Times New Roman"/>
                <w:sz w:val="24"/>
                <w:szCs w:val="24"/>
                <w:lang w:eastAsia="ru-RU"/>
              </w:rPr>
              <w:t>лесного</w:t>
            </w:r>
            <w:proofErr w:type="gramEnd"/>
            <w:r w:rsidRPr="00361ED8">
              <w:rPr>
                <w:rFonts w:ascii="Times New Roman" w:eastAsia="Times New Roman" w:hAnsi="Times New Roman" w:cs="Times New Roman"/>
                <w:sz w:val="24"/>
                <w:szCs w:val="24"/>
                <w:lang w:eastAsia="ru-RU"/>
              </w:rPr>
              <w:t xml:space="preserve"> хозяйство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w:t>
            </w:r>
            <w:proofErr w:type="gramStart"/>
            <w:r w:rsidRPr="00361ED8">
              <w:rPr>
                <w:rFonts w:ascii="Times New Roman" w:eastAsia="Times New Roman" w:hAnsi="Times New Roman" w:cs="Courier New"/>
                <w:sz w:val="24"/>
                <w:szCs w:val="24"/>
                <w:lang w:eastAsia="ru-RU"/>
              </w:rPr>
              <w:t>качества жизни жителей Курчатовского района Курской области</w:t>
            </w:r>
            <w:proofErr w:type="gramEnd"/>
            <w:r w:rsidRPr="00361ED8">
              <w:rPr>
                <w:rFonts w:ascii="Times New Roman" w:eastAsia="Times New Roman" w:hAnsi="Times New Roman" w:cs="Courier New"/>
                <w:sz w:val="24"/>
                <w:szCs w:val="24"/>
                <w:lang w:eastAsia="ru-RU"/>
              </w:rPr>
              <w:t xml:space="preserve">   </w:t>
            </w:r>
          </w:p>
          <w:p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повышение </w:t>
            </w:r>
            <w:proofErr w:type="gramStart"/>
            <w:r w:rsidRPr="00361ED8">
              <w:rPr>
                <w:rFonts w:ascii="Times New Roman" w:eastAsia="Times New Roman" w:hAnsi="Times New Roman" w:cs="Times New Roman"/>
                <w:sz w:val="24"/>
                <w:szCs w:val="24"/>
                <w:lang w:eastAsia="ru-RU"/>
              </w:rPr>
              <w:t>уровня экологической культуры населения Курчатовского района Курской области</w:t>
            </w:r>
            <w:proofErr w:type="gramEnd"/>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Этапы и сроки реализации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этап и сроки реализации 2019 – 2025 годы;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Объемы бюджетных ассигнований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lang w:eastAsia="ru-RU"/>
              </w:rPr>
              <w:t xml:space="preserve">- объемы бюджетных ассигнований Подпрограммы за счет средств районного и областного бюджета составит </w:t>
            </w:r>
            <w:r w:rsidR="00771A99">
              <w:rPr>
                <w:rFonts w:ascii="Times New Roman" w:eastAsia="Times New Roman" w:hAnsi="Times New Roman" w:cs="Times New Roman"/>
                <w:color w:val="FF0000"/>
                <w:sz w:val="24"/>
                <w:szCs w:val="24"/>
                <w:lang w:eastAsia="ru-RU"/>
              </w:rPr>
              <w:t>7 047 031,31</w:t>
            </w:r>
            <w:r w:rsidR="007807F6" w:rsidRPr="007807F6">
              <w:rPr>
                <w:rFonts w:ascii="Times New Roman" w:eastAsia="Times New Roman" w:hAnsi="Times New Roman" w:cs="Times New Roman"/>
                <w:color w:val="FF0000"/>
                <w:sz w:val="24"/>
                <w:szCs w:val="24"/>
                <w:lang w:eastAsia="ru-RU"/>
              </w:rPr>
              <w:t xml:space="preserve"> </w:t>
            </w:r>
            <w:r w:rsidRPr="00361ED8">
              <w:rPr>
                <w:rFonts w:ascii="Times New Roman" w:eastAsia="Times New Roman" w:hAnsi="Times New Roman" w:cs="Times New Roman"/>
                <w:color w:val="FF0000"/>
                <w:sz w:val="24"/>
                <w:szCs w:val="24"/>
                <w:lang w:eastAsia="ru-RU"/>
              </w:rPr>
              <w:t>рублей, из них:</w:t>
            </w:r>
          </w:p>
          <w:p w:rsidR="007807F6" w:rsidRPr="00361ED8" w:rsidRDefault="007807F6" w:rsidP="00361ED8">
            <w:pPr>
              <w:jc w:val="both"/>
              <w:rPr>
                <w:rFonts w:ascii="Times New Roman" w:eastAsia="Times New Roman" w:hAnsi="Times New Roman" w:cs="Times New Roman"/>
                <w:color w:val="FF0000"/>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2020 год – 2 077 663,94 рублей;</w:t>
            </w: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w:t>
            </w:r>
            <w:r w:rsidR="00771A99">
              <w:rPr>
                <w:rFonts w:ascii="Times New Roman" w:eastAsia="Times New Roman" w:hAnsi="Times New Roman" w:cs="Times New Roman"/>
                <w:color w:val="FF0000"/>
                <w:sz w:val="24"/>
                <w:szCs w:val="24"/>
                <w:lang w:eastAsia="ru-RU"/>
              </w:rPr>
              <w:t> 772 905,90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xml:space="preserve">2025 год – </w:t>
            </w:r>
            <w:r w:rsidR="005444C8">
              <w:rPr>
                <w:rFonts w:ascii="Times New Roman" w:eastAsia="Times New Roman" w:hAnsi="Times New Roman" w:cs="Arial"/>
                <w:sz w:val="24"/>
                <w:szCs w:val="24"/>
                <w:lang w:eastAsia="ru-RU"/>
              </w:rPr>
              <w:t>0</w:t>
            </w:r>
            <w:r w:rsidRPr="00361ED8">
              <w:rPr>
                <w:rFonts w:ascii="Times New Roman" w:eastAsia="Times New Roman" w:hAnsi="Times New Roman" w:cs="Arial"/>
                <w:sz w:val="24"/>
                <w:szCs w:val="24"/>
                <w:lang w:eastAsia="ru-RU"/>
              </w:rPr>
              <w:t xml:space="preserve"> рублей </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rsidTr="00A934F9">
              <w:trPr>
                <w:trHeight w:val="289"/>
              </w:trPr>
              <w:tc>
                <w:tcPr>
                  <w:tcW w:w="7007" w:type="dxa"/>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361ED8">
        <w:rPr>
          <w:rFonts w:ascii="Times New Roman" w:eastAsia="Times New Roman" w:hAnsi="Times New Roman" w:cs="Times New Roman"/>
          <w:sz w:val="24"/>
          <w:szCs w:val="24"/>
          <w:lang w:eastAsia="ru-RU"/>
        </w:rPr>
        <w:t>распаханность</w:t>
      </w:r>
      <w:proofErr w:type="spellEnd"/>
      <w:r w:rsidRPr="00361ED8">
        <w:rPr>
          <w:rFonts w:ascii="Times New Roman" w:eastAsia="Times New Roman" w:hAnsi="Times New Roman" w:cs="Times New Roman"/>
          <w:sz w:val="24"/>
          <w:szCs w:val="24"/>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w:t>
      </w:r>
      <w:proofErr w:type="gramEnd"/>
      <w:r w:rsidRPr="00361ED8">
        <w:rPr>
          <w:rFonts w:ascii="Times New Roman" w:eastAsia="Times New Roman" w:hAnsi="Times New Roman" w:cs="Times New Roman"/>
          <w:sz w:val="24"/>
          <w:szCs w:val="24"/>
          <w:lang w:eastAsia="ru-RU"/>
        </w:rPr>
        <w:t xml:space="preserve"> период 2018 - 2020 годов.</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соответствии с указанными нормативными актами цель настоящей Подпрограммы – улучшение </w:t>
      </w:r>
      <w:proofErr w:type="gramStart"/>
      <w:r w:rsidRPr="00361ED8">
        <w:rPr>
          <w:rFonts w:ascii="Times New Roman" w:eastAsia="Times New Roman" w:hAnsi="Times New Roman" w:cs="Times New Roman"/>
          <w:sz w:val="24"/>
          <w:szCs w:val="24"/>
          <w:lang w:eastAsia="ru-RU"/>
        </w:rPr>
        <w:t>качества жизни жителей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w:t>
      </w:r>
      <w:proofErr w:type="gramStart"/>
      <w:r w:rsidRPr="00361ED8">
        <w:rPr>
          <w:rFonts w:ascii="Times New Roman" w:eastAsia="Times New Roman" w:hAnsi="Times New Roman" w:cs="Times New Roman"/>
          <w:sz w:val="24"/>
          <w:szCs w:val="24"/>
          <w:lang w:eastAsia="ru-RU"/>
        </w:rPr>
        <w:t>уровня экологической культуры населения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Индикаторами достижения данной цели являются:</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w:t>
      </w:r>
      <w:r w:rsidRPr="00361ED8">
        <w:rPr>
          <w:rFonts w:ascii="Times New Roman" w:eastAsia="Times New Roman" w:hAnsi="Times New Roman" w:cs="Times New Roman"/>
          <w:sz w:val="24"/>
          <w:szCs w:val="24"/>
          <w:lang w:eastAsia="ru-RU"/>
        </w:rPr>
        <w:lastRenderedPageBreak/>
        <w:t>реагирование на случаи обострения экологической обстановки.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Региональный проект «Чистая вода»:</w:t>
      </w:r>
    </w:p>
    <w:p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02E1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4B5232" w:rsidP="00361ED8">
      <w:pPr>
        <w:ind w:firstLine="540"/>
        <w:jc w:val="both"/>
        <w:rPr>
          <w:rFonts w:ascii="Times New Roman" w:eastAsia="Times New Roman" w:hAnsi="Times New Roman" w:cs="Times New Roman"/>
          <w:sz w:val="24"/>
          <w:szCs w:val="24"/>
          <w:lang w:eastAsia="ru-RU"/>
        </w:rPr>
      </w:pPr>
      <w:hyperlink r:id="rId49"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x-none"/>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lastRenderedPageBreak/>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Объем финансирования по подпрограмме в 2019 - 2025 годах за счет средств районного и областного бюджета составит </w:t>
      </w:r>
      <w:r w:rsidR="00771A99" w:rsidRPr="00771A99">
        <w:rPr>
          <w:rFonts w:ascii="Times New Roman" w:eastAsia="Times New Roman" w:hAnsi="Times New Roman" w:cs="Times New Roman"/>
          <w:color w:val="FF0000"/>
          <w:sz w:val="24"/>
          <w:szCs w:val="24"/>
          <w:lang w:eastAsia="ru-RU"/>
        </w:rPr>
        <w:t xml:space="preserve">7 047 031,31 </w:t>
      </w:r>
      <w:r w:rsidRPr="00361ED8">
        <w:rPr>
          <w:rFonts w:ascii="Times New Roman" w:eastAsia="Times New Roman" w:hAnsi="Times New Roman" w:cs="Times New Roman"/>
          <w:color w:val="FF0000"/>
          <w:sz w:val="24"/>
          <w:szCs w:val="24"/>
          <w:lang w:eastAsia="ru-RU"/>
        </w:rPr>
        <w:t>рублей, из них:</w:t>
      </w:r>
    </w:p>
    <w:p w:rsidR="00361ED8" w:rsidRPr="00141AA9" w:rsidRDefault="00361ED8" w:rsidP="00361ED8">
      <w:pPr>
        <w:spacing w:line="276" w:lineRule="auto"/>
        <w:ind w:left="708"/>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 xml:space="preserve">            2020 год – 2 077 663,94 рублей;</w:t>
      </w:r>
    </w:p>
    <w:p w:rsidR="00361ED8" w:rsidRPr="00AB22A0" w:rsidRDefault="007807F6" w:rsidP="007807F6">
      <w:pPr>
        <w:spacing w:line="276" w:lineRule="auto"/>
        <w:ind w:left="708"/>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w:t>
      </w:r>
      <w:r w:rsidR="00771A99">
        <w:rPr>
          <w:rFonts w:ascii="Times New Roman" w:eastAsia="Times New Roman" w:hAnsi="Times New Roman" w:cs="Times New Roman"/>
          <w:color w:val="FF0000"/>
          <w:sz w:val="24"/>
          <w:szCs w:val="24"/>
          <w:lang w:eastAsia="ru-RU"/>
        </w:rPr>
        <w:t> 772 905,90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50"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rsidR="00361ED8" w:rsidRPr="00361ED8" w:rsidRDefault="00361ED8" w:rsidP="00361ED8">
      <w:pPr>
        <w:ind w:firstLine="600"/>
        <w:jc w:val="center"/>
        <w:rPr>
          <w:rFonts w:ascii="Times New Roman" w:eastAsia="Times New Roman" w:hAnsi="Times New Roman" w:cs="Times New Roman"/>
          <w:b/>
          <w:sz w:val="24"/>
          <w:szCs w:val="24"/>
          <w:lang w:eastAsia="ru-RU"/>
        </w:rPr>
      </w:pP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BA3816">
          <w:headerReference w:type="first" r:id="rId51"/>
          <w:pgSz w:w="11906" w:h="16838" w:code="9"/>
          <w:pgMar w:top="426" w:right="849" w:bottom="709"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361ED8" w:rsidRDefault="00A01EA8" w:rsidP="00361ED8">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361ED8" w:rsidRPr="00361ED8">
        <w:rPr>
          <w:rFonts w:ascii="Times New Roman" w:eastAsia="Times New Roman" w:hAnsi="Times New Roman" w:cs="Times New Roman"/>
          <w:sz w:val="20"/>
          <w:szCs w:val="20"/>
          <w:lang w:eastAsia="ru-RU"/>
        </w:rPr>
        <w:t xml:space="preserve"> </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 муниципальной программе Курчатовского района</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 «Охрана окружающей среды</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муниципального района «Курчатовский район» </w:t>
      </w:r>
    </w:p>
    <w:p w:rsid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w:t>
      </w:r>
    </w:p>
    <w:p w:rsidR="00241C42" w:rsidRPr="00361ED8"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rsidTr="00A934F9">
        <w:trPr>
          <w:trHeight w:val="380"/>
        </w:trPr>
        <w:tc>
          <w:tcPr>
            <w:tcW w:w="748" w:type="dxa"/>
            <w:vMerge w:val="restart"/>
            <w:tcBorders>
              <w:top w:val="single" w:sz="4" w:space="0" w:color="auto"/>
              <w:left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5773" w:type="dxa"/>
            <w:vMerge w:val="restart"/>
            <w:tcBorders>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rsidTr="00A934F9">
        <w:tc>
          <w:tcPr>
            <w:tcW w:w="748" w:type="dxa"/>
            <w:vMerge/>
            <w:tcBorders>
              <w:left w:val="single" w:sz="4" w:space="0" w:color="auto"/>
              <w:bottom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«Курчатовский район» Курской области»</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rsidR="00361ED8" w:rsidRPr="00361ED8" w:rsidRDefault="00361ED8" w:rsidP="00361ED8">
      <w:pPr>
        <w:spacing w:after="200" w:line="276" w:lineRule="auto"/>
        <w:jc w:val="left"/>
        <w:rPr>
          <w:rFonts w:ascii="Calibri" w:eastAsia="Times New Roman" w:hAnsi="Calibri" w:cs="Times New Roman"/>
          <w:b/>
          <w:sz w:val="26"/>
          <w:szCs w:val="26"/>
          <w:lang w:eastAsia="ru-RU"/>
        </w:rPr>
      </w:pPr>
    </w:p>
    <w:p w:rsidR="00361ED8" w:rsidRDefault="00361ED8" w:rsidP="00361ED8">
      <w:pPr>
        <w:spacing w:after="200" w:line="276" w:lineRule="auto"/>
        <w:jc w:val="left"/>
        <w:rPr>
          <w:rFonts w:ascii="Calibri" w:eastAsia="Times New Roman" w:hAnsi="Calibri" w:cs="Times New Roman"/>
          <w:b/>
          <w:sz w:val="26"/>
          <w:szCs w:val="26"/>
          <w:lang w:eastAsia="ru-RU"/>
        </w:rPr>
      </w:pPr>
    </w:p>
    <w:p w:rsidR="00241C42" w:rsidRPr="00361ED8" w:rsidRDefault="00241C42" w:rsidP="00361ED8">
      <w:pPr>
        <w:spacing w:after="200" w:line="276" w:lineRule="auto"/>
        <w:jc w:val="left"/>
        <w:rPr>
          <w:rFonts w:ascii="Calibri" w:eastAsia="Times New Roman" w:hAnsi="Calibri" w:cs="Times New Roman"/>
          <w:b/>
          <w:sz w:val="26"/>
          <w:szCs w:val="26"/>
          <w:lang w:eastAsia="ru-RU"/>
        </w:rPr>
      </w:pPr>
    </w:p>
    <w:p w:rsidR="00361ED8" w:rsidRDefault="00361ED8" w:rsidP="000E72C4">
      <w:pPr>
        <w:spacing w:line="276" w:lineRule="auto"/>
        <w:jc w:val="left"/>
        <w:rPr>
          <w:rFonts w:ascii="Times New Roman" w:eastAsia="Times New Roman" w:hAnsi="Times New Roman" w:cs="Times New Roman"/>
          <w:sz w:val="24"/>
          <w:szCs w:val="20"/>
          <w:lang w:eastAsia="ru-RU"/>
        </w:rPr>
      </w:pPr>
    </w:p>
    <w:p w:rsidR="000E72C4" w:rsidRPr="00361ED8" w:rsidRDefault="000E72C4" w:rsidP="000E72C4">
      <w:pPr>
        <w:spacing w:line="276" w:lineRule="auto"/>
        <w:jc w:val="left"/>
        <w:rPr>
          <w:rFonts w:ascii="Times New Roman" w:eastAsia="Times New Roman" w:hAnsi="Times New Roman" w:cs="Times New Roman"/>
          <w:sz w:val="24"/>
          <w:szCs w:val="20"/>
          <w:lang w:eastAsia="ru-RU"/>
        </w:rPr>
      </w:pPr>
    </w:p>
    <w:p w:rsidR="00241C42" w:rsidRPr="004C584B" w:rsidRDefault="00241C42" w:rsidP="00361ED8">
      <w:pPr>
        <w:autoSpaceDE w:val="0"/>
        <w:autoSpaceDN w:val="0"/>
        <w:adjustRightInd w:val="0"/>
        <w:ind w:left="19824" w:hanging="9912"/>
        <w:jc w:val="left"/>
        <w:rPr>
          <w:rFonts w:ascii="Times New Roman" w:eastAsia="Times New Roman" w:hAnsi="Times New Roman" w:cs="Times New Roman"/>
          <w:bCs/>
          <w:sz w:val="16"/>
          <w:szCs w:val="20"/>
          <w:lang w:eastAsia="ru-RU"/>
        </w:rPr>
      </w:pPr>
      <w:r>
        <w:rPr>
          <w:rFonts w:ascii="Times New Roman" w:eastAsia="Times New Roman" w:hAnsi="Times New Roman" w:cs="Times New Roman"/>
          <w:bCs/>
          <w:sz w:val="16"/>
          <w:szCs w:val="20"/>
          <w:lang w:eastAsia="ru-RU"/>
        </w:rPr>
        <w:lastRenderedPageBreak/>
        <w:t>Таблица №2</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361ED8" w:rsidTr="000E72C4">
        <w:tc>
          <w:tcPr>
            <w:tcW w:w="482" w:type="dxa"/>
            <w:vMerge w:val="restart"/>
            <w:vAlign w:val="center"/>
          </w:tcPr>
          <w:p w:rsidR="00361ED8" w:rsidRPr="00361ED8" w:rsidRDefault="00361ED8" w:rsidP="00361ED8">
            <w:pPr>
              <w:spacing w:line="276" w:lineRule="auto"/>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w:t>
            </w: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3028"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3055"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Последствия </w:t>
            </w:r>
            <w:proofErr w:type="spellStart"/>
            <w:r w:rsidRPr="00361ED8">
              <w:rPr>
                <w:rFonts w:ascii="Times New Roman" w:eastAsia="Times New Roman" w:hAnsi="Times New Roman" w:cs="Times New Roman"/>
                <w:sz w:val="20"/>
                <w:szCs w:val="20"/>
                <w:lang w:eastAsia="ru-RU"/>
              </w:rPr>
              <w:t>нереализации</w:t>
            </w:r>
            <w:proofErr w:type="spellEnd"/>
            <w:r w:rsidRPr="00361ED8">
              <w:rPr>
                <w:rFonts w:ascii="Times New Roman" w:eastAsia="Times New Roman" w:hAnsi="Times New Roman" w:cs="Times New Roman"/>
                <w:sz w:val="20"/>
                <w:szCs w:val="20"/>
                <w:lang w:eastAsia="ru-RU"/>
              </w:rPr>
              <w:t xml:space="preserve"> муниципальной программы, основного мероприятия</w:t>
            </w:r>
          </w:p>
        </w:tc>
        <w:tc>
          <w:tcPr>
            <w:tcW w:w="2126"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361ED8" w:rsidRPr="00361ED8" w:rsidTr="000E72C4">
        <w:tc>
          <w:tcPr>
            <w:tcW w:w="482"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rsidR="00361ED8" w:rsidRPr="00361ED8"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A934F9">
        <w:tc>
          <w:tcPr>
            <w:tcW w:w="15559" w:type="dxa"/>
            <w:gridSpan w:val="8"/>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028" w:type="dxa"/>
            <w:vAlign w:val="center"/>
          </w:tcPr>
          <w:p w:rsidR="00361ED8" w:rsidRPr="00361ED8" w:rsidRDefault="00905E77"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361ED8" w:rsidRPr="00361ED8" w:rsidRDefault="00361ED8" w:rsidP="00A934F9">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r w:rsidR="007D3728" w:rsidRPr="00361ED8">
              <w:rPr>
                <w:rFonts w:ascii="Times New Roman" w:eastAsia="Calibri" w:hAnsi="Times New Roman" w:cs="Times New Roman"/>
                <w:sz w:val="20"/>
                <w:szCs w:val="20"/>
                <w:lang w:val="x-none" w:eastAsia="x-none"/>
              </w:rPr>
              <w:t>Мероприятия</w:t>
            </w:r>
            <w:r w:rsidR="00A934F9">
              <w:rPr>
                <w:rFonts w:ascii="Times New Roman" w:eastAsia="Calibri" w:hAnsi="Times New Roman" w:cs="Times New Roman"/>
                <w:sz w:val="20"/>
                <w:szCs w:val="20"/>
                <w:lang w:eastAsia="x-none"/>
              </w:rPr>
              <w:t xml:space="preserve"> </w:t>
            </w:r>
            <w:r w:rsidR="007D3728">
              <w:rPr>
                <w:rFonts w:ascii="Times New Roman" w:eastAsia="Calibri" w:hAnsi="Times New Roman" w:cs="Times New Roman"/>
                <w:sz w:val="20"/>
                <w:szCs w:val="20"/>
                <w:lang w:eastAsia="x-none"/>
              </w:rPr>
              <w:t>по</w:t>
            </w:r>
            <w:r w:rsidR="00A934F9">
              <w:rPr>
                <w:rFonts w:ascii="Times New Roman" w:eastAsia="Calibri" w:hAnsi="Times New Roman" w:cs="Times New Roman"/>
                <w:sz w:val="20"/>
                <w:szCs w:val="20"/>
                <w:lang w:eastAsia="x-none"/>
              </w:rPr>
              <w:t xml:space="preserve"> строительству и рек</w:t>
            </w:r>
            <w:r w:rsidR="007D3728">
              <w:rPr>
                <w:rFonts w:ascii="Times New Roman" w:eastAsia="Calibri" w:hAnsi="Times New Roman" w:cs="Times New Roman"/>
                <w:sz w:val="20"/>
                <w:szCs w:val="20"/>
                <w:lang w:eastAsia="x-none"/>
              </w:rPr>
              <w:t xml:space="preserve">онструкции объектов </w:t>
            </w:r>
            <w:r w:rsidR="00A934F9">
              <w:rPr>
                <w:rFonts w:ascii="Times New Roman" w:eastAsia="Calibri" w:hAnsi="Times New Roman" w:cs="Times New Roman"/>
                <w:sz w:val="20"/>
                <w:szCs w:val="20"/>
                <w:lang w:eastAsia="x-none"/>
              </w:rPr>
              <w:t>питьевого</w:t>
            </w:r>
            <w:r w:rsidR="007D3728">
              <w:rPr>
                <w:rFonts w:ascii="Times New Roman" w:eastAsia="Calibri" w:hAnsi="Times New Roman" w:cs="Times New Roman"/>
                <w:sz w:val="20"/>
                <w:szCs w:val="20"/>
                <w:lang w:eastAsia="x-none"/>
              </w:rPr>
              <w:t xml:space="preserve"> </w:t>
            </w:r>
            <w:r w:rsidR="00A934F9">
              <w:rPr>
                <w:rFonts w:ascii="Times New Roman" w:eastAsia="Calibri" w:hAnsi="Times New Roman" w:cs="Times New Roman"/>
                <w:sz w:val="20"/>
                <w:szCs w:val="20"/>
                <w:lang w:eastAsia="x-none"/>
              </w:rPr>
              <w:t xml:space="preserve">водоснабжения (Водоснабжение </w:t>
            </w:r>
            <w:proofErr w:type="spellStart"/>
            <w:r w:rsidR="00A934F9">
              <w:rPr>
                <w:rFonts w:ascii="Times New Roman" w:eastAsia="Calibri" w:hAnsi="Times New Roman" w:cs="Times New Roman"/>
                <w:sz w:val="20"/>
                <w:szCs w:val="20"/>
                <w:lang w:eastAsia="x-none"/>
              </w:rPr>
              <w:t>ул</w:t>
            </w:r>
            <w:proofErr w:type="gramStart"/>
            <w:r w:rsidR="00A934F9">
              <w:rPr>
                <w:rFonts w:ascii="Times New Roman" w:eastAsia="Calibri" w:hAnsi="Times New Roman" w:cs="Times New Roman"/>
                <w:sz w:val="20"/>
                <w:szCs w:val="20"/>
                <w:lang w:eastAsia="x-none"/>
              </w:rPr>
              <w:t>.С</w:t>
            </w:r>
            <w:proofErr w:type="gramEnd"/>
            <w:r w:rsidR="00A934F9">
              <w:rPr>
                <w:rFonts w:ascii="Times New Roman" w:eastAsia="Calibri" w:hAnsi="Times New Roman" w:cs="Times New Roman"/>
                <w:sz w:val="20"/>
                <w:szCs w:val="20"/>
                <w:lang w:eastAsia="x-none"/>
              </w:rPr>
              <w:t>анаторской</w:t>
            </w:r>
            <w:proofErr w:type="spellEnd"/>
            <w:r w:rsidR="00A934F9">
              <w:rPr>
                <w:rFonts w:ascii="Times New Roman" w:eastAsia="Calibri" w:hAnsi="Times New Roman" w:cs="Times New Roman"/>
                <w:sz w:val="20"/>
                <w:szCs w:val="20"/>
                <w:lang w:eastAsia="x-none"/>
              </w:rPr>
              <w:t xml:space="preserve"> </w:t>
            </w:r>
            <w:proofErr w:type="spellStart"/>
            <w:r w:rsidR="00A934F9">
              <w:rPr>
                <w:rFonts w:ascii="Times New Roman" w:eastAsia="Calibri" w:hAnsi="Times New Roman" w:cs="Times New Roman"/>
                <w:sz w:val="20"/>
                <w:szCs w:val="20"/>
                <w:lang w:eastAsia="x-none"/>
              </w:rPr>
              <w:t>с.Макаровка</w:t>
            </w:r>
            <w:proofErr w:type="spellEnd"/>
            <w:r w:rsidR="00A934F9">
              <w:rPr>
                <w:rFonts w:ascii="Times New Roman" w:eastAsia="Calibri" w:hAnsi="Times New Roman" w:cs="Times New Roman"/>
                <w:sz w:val="20"/>
                <w:szCs w:val="20"/>
                <w:lang w:eastAsia="x-none"/>
              </w:rPr>
              <w:t xml:space="preserve"> Курчатовского района Курской области. </w:t>
            </w:r>
            <w:proofErr w:type="gramStart"/>
            <w:r w:rsidR="00A934F9">
              <w:rPr>
                <w:rFonts w:ascii="Times New Roman" w:eastAsia="Calibri" w:hAnsi="Times New Roman" w:cs="Times New Roman"/>
                <w:sz w:val="20"/>
                <w:szCs w:val="20"/>
                <w:lang w:eastAsia="x-none"/>
              </w:rPr>
              <w:t>Реконструкция)</w:t>
            </w:r>
            <w:r w:rsidRPr="00361ED8">
              <w:rPr>
                <w:rFonts w:ascii="Times New Roman" w:eastAsia="Times New Roman" w:hAnsi="Times New Roman" w:cs="Times New Roman"/>
                <w:sz w:val="20"/>
                <w:szCs w:val="20"/>
                <w:lang w:eastAsia="ru-RU"/>
              </w:rPr>
              <w:t>»</w:t>
            </w:r>
            <w:proofErr w:type="gramEnd"/>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028" w:type="dxa"/>
          </w:tcPr>
          <w:p w:rsidR="00361ED8" w:rsidRPr="00361ED8" w:rsidRDefault="00905E77"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00361ED8" w:rsidRPr="00361ED8">
              <w:rPr>
                <w:rFonts w:ascii="Times New Roman" w:eastAsia="Times New Roman" w:hAnsi="Times New Roman" w:cs="Times New Roman"/>
                <w:sz w:val="20"/>
                <w:szCs w:val="20"/>
                <w:lang w:eastAsia="ru-RU"/>
              </w:rPr>
              <w:t>«Проведение текущего ремонта объектов водоснабжения муниципальной собственности»</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bl>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Pr="00361ED8" w:rsidRDefault="000E72C4" w:rsidP="00361ED8">
      <w:pPr>
        <w:ind w:left="9202"/>
        <w:jc w:val="both"/>
        <w:rPr>
          <w:rFonts w:ascii="Times New Roman" w:eastAsia="Times New Roman" w:hAnsi="Times New Roman" w:cs="Times New Roman"/>
          <w:sz w:val="20"/>
          <w:szCs w:val="20"/>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0E72C4" w:rsidRPr="00905B7F" w:rsidRDefault="000E72C4" w:rsidP="00905B7F">
      <w:pPr>
        <w:autoSpaceDE w:val="0"/>
        <w:autoSpaceDN w:val="0"/>
        <w:adjustRightInd w:val="0"/>
        <w:ind w:left="19824" w:hanging="9912"/>
        <w:jc w:val="left"/>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lastRenderedPageBreak/>
        <w:t>Таблица № 3</w:t>
      </w:r>
    </w:p>
    <w:p w:rsidR="00361ED8" w:rsidRPr="00361ED8" w:rsidRDefault="00361ED8" w:rsidP="00361ED8">
      <w:pPr>
        <w:widowControl w:val="0"/>
        <w:autoSpaceDE w:val="0"/>
        <w:autoSpaceDN w:val="0"/>
        <w:adjustRightInd w:val="0"/>
        <w:jc w:val="center"/>
        <w:rPr>
          <w:rFonts w:ascii="Arial" w:eastAsia="Times New Roman" w:hAnsi="Arial" w:cs="Arial"/>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361ED8"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50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3119"/>
        <w:gridCol w:w="6095"/>
        <w:gridCol w:w="2977"/>
        <w:gridCol w:w="2268"/>
      </w:tblGrid>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N </w:t>
            </w: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Вид нормативного правового акта</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Основные положения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Ожидаемые сроки принятия</w:t>
            </w:r>
          </w:p>
        </w:tc>
      </w:tr>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r>
      <w:tr w:rsidR="00361ED8" w:rsidRPr="00361ED8" w:rsidTr="00A934F9">
        <w:tc>
          <w:tcPr>
            <w:tcW w:w="15096" w:type="dxa"/>
            <w:gridSpan w:val="5"/>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bl>
    <w:p w:rsidR="00361ED8" w:rsidRPr="00361ED8"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Pr="00361ED8" w:rsidRDefault="000E72C4" w:rsidP="00361ED8">
      <w:pPr>
        <w:ind w:left="9202"/>
        <w:jc w:val="both"/>
        <w:rPr>
          <w:rFonts w:ascii="Times New Roman" w:eastAsia="Times New Roman" w:hAnsi="Times New Roman" w:cs="Times New Roman"/>
          <w:sz w:val="20"/>
          <w:szCs w:val="20"/>
          <w:lang w:eastAsia="ru-RU"/>
        </w:rPr>
      </w:pPr>
    </w:p>
    <w:p w:rsidR="00905B7F" w:rsidRPr="00361ED8" w:rsidRDefault="00905B7F" w:rsidP="00905B7F">
      <w:pPr>
        <w:jc w:val="both"/>
        <w:rPr>
          <w:rFonts w:ascii="Times New Roman" w:eastAsia="Times New Roman" w:hAnsi="Times New Roman" w:cs="Times New Roman"/>
          <w:sz w:val="20"/>
          <w:szCs w:val="20"/>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0E72C4" w:rsidRPr="00905B7F" w:rsidRDefault="000E72C4" w:rsidP="00905B7F">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Таблица №5</w:t>
      </w:r>
    </w:p>
    <w:p w:rsidR="00361ED8" w:rsidRPr="00361ED8" w:rsidRDefault="00361ED8" w:rsidP="00361ED8">
      <w:pPr>
        <w:ind w:firstLine="709"/>
        <w:jc w:val="left"/>
        <w:rPr>
          <w:rFonts w:ascii="Times New Roman" w:eastAsia="Times New Roman" w:hAnsi="Times New Roman" w:cs="Times New Roman"/>
          <w:b/>
          <w:sz w:val="24"/>
          <w:szCs w:val="24"/>
          <w:lang w:eastAsia="ru-RU"/>
        </w:rPr>
      </w:pPr>
    </w:p>
    <w:p w:rsidR="00361ED8" w:rsidRPr="00361ED8" w:rsidRDefault="00361ED8" w:rsidP="00905B7F">
      <w:pPr>
        <w:keepNext/>
        <w:jc w:val="center"/>
        <w:outlineLvl w:val="1"/>
        <w:rPr>
          <w:rFonts w:ascii="Times New Roman" w:eastAsia="Times New Roman" w:hAnsi="Times New Roman" w:cs="Times New Roman"/>
          <w:b/>
          <w:bCs/>
          <w:iCs/>
          <w:sz w:val="24"/>
          <w:szCs w:val="24"/>
          <w:lang w:val="x-none" w:eastAsia="x-none"/>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rsidR="00361ED8" w:rsidRPr="00361ED8" w:rsidRDefault="00361ED8" w:rsidP="00361ED8">
      <w:pPr>
        <w:jc w:val="center"/>
        <w:rPr>
          <w:rFonts w:ascii="Calibri" w:eastAsia="Times New Roman" w:hAnsi="Calibri" w:cs="Times New Roman"/>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361ED8">
        <w:rPr>
          <w:rFonts w:ascii="Calibri" w:eastAsia="Times New Roman" w:hAnsi="Calibri" w:cs="Times New Roman"/>
          <w:lang w:eastAsia="ru-RU"/>
        </w:rPr>
        <w:t xml:space="preserve"> </w:t>
      </w:r>
    </w:p>
    <w:p w:rsidR="00361ED8" w:rsidRPr="00361ED8" w:rsidRDefault="00361ED8" w:rsidP="00361ED8">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за счет средств районного бюджета (рублей)</w:t>
      </w:r>
    </w:p>
    <w:p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850"/>
        <w:gridCol w:w="851"/>
        <w:gridCol w:w="850"/>
        <w:gridCol w:w="851"/>
      </w:tblGrid>
      <w:tr w:rsidR="00361ED8" w:rsidRPr="00361ED8" w:rsidTr="00905B7F">
        <w:trPr>
          <w:cantSplit/>
          <w:trHeight w:val="735"/>
        </w:trPr>
        <w:tc>
          <w:tcPr>
            <w:tcW w:w="1668"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361ED8" w:rsidRPr="00361ED8" w:rsidTr="00771A99">
        <w:trPr>
          <w:cantSplit/>
          <w:trHeight w:val="735"/>
        </w:trPr>
        <w:tc>
          <w:tcPr>
            <w:tcW w:w="1668"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proofErr w:type="spellStart"/>
            <w:r w:rsidRPr="00361ED8">
              <w:rPr>
                <w:rFonts w:ascii="Times New Roman" w:eastAsia="Times New Roman" w:hAnsi="Times New Roman" w:cs="Times New Roman"/>
                <w:sz w:val="20"/>
                <w:szCs w:val="20"/>
                <w:lang w:eastAsia="ru-RU"/>
              </w:rPr>
              <w:t>РзПр</w:t>
            </w:r>
            <w:proofErr w:type="spellEnd"/>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2019</w:t>
            </w:r>
          </w:p>
        </w:tc>
        <w:tc>
          <w:tcPr>
            <w:tcW w:w="1276" w:type="dxa"/>
            <w:vAlign w:val="center"/>
          </w:tcPr>
          <w:p w:rsidR="00361ED8" w:rsidRPr="00AB22A0" w:rsidRDefault="00361ED8"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2020</w:t>
            </w:r>
          </w:p>
        </w:tc>
        <w:tc>
          <w:tcPr>
            <w:tcW w:w="1276" w:type="dxa"/>
            <w:tcBorders>
              <w:right w:val="single" w:sz="4" w:space="0" w:color="auto"/>
            </w:tcBorders>
            <w:vAlign w:val="center"/>
          </w:tcPr>
          <w:p w:rsidR="00361ED8" w:rsidRPr="00AB22A0" w:rsidRDefault="00361ED8" w:rsidP="00905B7F">
            <w:pPr>
              <w:jc w:val="center"/>
              <w:rPr>
                <w:rFonts w:ascii="Times New Roman" w:eastAsia="Times New Roman" w:hAnsi="Times New Roman" w:cs="Times New Roman"/>
                <w:color w:val="FF0000"/>
                <w:sz w:val="18"/>
                <w:szCs w:val="18"/>
                <w:lang w:eastAsia="ru-RU"/>
              </w:rPr>
            </w:pPr>
            <w:r w:rsidRPr="00AB22A0">
              <w:rPr>
                <w:rFonts w:ascii="Times New Roman" w:eastAsia="Times New Roman" w:hAnsi="Times New Roman" w:cs="Times New Roman"/>
                <w:color w:val="FF0000"/>
                <w:sz w:val="18"/>
                <w:szCs w:val="18"/>
                <w:lang w:eastAsia="ru-RU"/>
              </w:rPr>
              <w:t>2021</w:t>
            </w:r>
          </w:p>
        </w:tc>
        <w:tc>
          <w:tcPr>
            <w:tcW w:w="850"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2022</w:t>
            </w:r>
          </w:p>
        </w:tc>
        <w:tc>
          <w:tcPr>
            <w:tcW w:w="851"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2023</w:t>
            </w:r>
          </w:p>
        </w:tc>
        <w:tc>
          <w:tcPr>
            <w:tcW w:w="850"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2024</w:t>
            </w:r>
          </w:p>
        </w:tc>
        <w:tc>
          <w:tcPr>
            <w:tcW w:w="851"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2025</w:t>
            </w:r>
          </w:p>
        </w:tc>
      </w:tr>
      <w:tr w:rsidR="00361ED8" w:rsidRPr="00361ED8" w:rsidTr="00771A99">
        <w:trPr>
          <w:cantSplit/>
          <w:trHeight w:val="1202"/>
        </w:trPr>
        <w:tc>
          <w:tcPr>
            <w:tcW w:w="1668"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693"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141AA9" w:rsidP="007807F6">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2</w:t>
            </w:r>
            <w:r w:rsidR="007807F6" w:rsidRPr="00AB22A0">
              <w:rPr>
                <w:rFonts w:ascii="Times New Roman" w:eastAsia="Times New Roman" w:hAnsi="Times New Roman" w:cs="Times New Roman"/>
                <w:color w:val="000000" w:themeColor="text1"/>
                <w:sz w:val="18"/>
                <w:szCs w:val="18"/>
                <w:lang w:eastAsia="ru-RU"/>
              </w:rPr>
              <w:t> 077 663,94</w:t>
            </w:r>
          </w:p>
        </w:tc>
        <w:tc>
          <w:tcPr>
            <w:tcW w:w="1276" w:type="dxa"/>
            <w:tcBorders>
              <w:right w:val="single" w:sz="4" w:space="0" w:color="auto"/>
            </w:tcBorders>
            <w:vAlign w:val="center"/>
          </w:tcPr>
          <w:p w:rsidR="00361ED8" w:rsidRPr="00AB22A0" w:rsidRDefault="00771A99"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4 772 905,90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771A99">
        <w:trPr>
          <w:cantSplit/>
          <w:trHeight w:val="1262"/>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0E72C4" w:rsidP="007807F6">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2 077 663,94</w:t>
            </w:r>
          </w:p>
        </w:tc>
        <w:tc>
          <w:tcPr>
            <w:tcW w:w="1276" w:type="dxa"/>
            <w:tcBorders>
              <w:right w:val="single" w:sz="4" w:space="0" w:color="auto"/>
            </w:tcBorders>
            <w:vAlign w:val="center"/>
          </w:tcPr>
          <w:p w:rsidR="00361ED8" w:rsidRPr="00AB22A0" w:rsidRDefault="00771A99" w:rsidP="00905B7F">
            <w:pPr>
              <w:jc w:val="center"/>
              <w:rPr>
                <w:rFonts w:ascii="Calibri" w:eastAsia="Times New Roman" w:hAnsi="Calibri" w:cs="Times New Roman"/>
                <w:color w:val="FF0000"/>
                <w:lang w:eastAsia="ru-RU"/>
              </w:rPr>
            </w:pPr>
            <w:r w:rsidRPr="00771A99">
              <w:rPr>
                <w:rFonts w:ascii="Times New Roman" w:eastAsia="Times New Roman" w:hAnsi="Times New Roman" w:cs="Times New Roman"/>
                <w:color w:val="FF0000"/>
                <w:sz w:val="18"/>
                <w:szCs w:val="18"/>
                <w:lang w:eastAsia="ru-RU"/>
              </w:rPr>
              <w:t>4 772 905,90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771A99">
        <w:trPr>
          <w:cantSplit/>
          <w:trHeight w:val="1266"/>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361ED8" w:rsidRPr="00361ED8" w:rsidRDefault="00361ED8" w:rsidP="00905B7F">
            <w:pPr>
              <w:autoSpaceDN w:val="0"/>
              <w:adjustRightInd w:val="0"/>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A7A85" w:rsidP="00905B7F">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361ED8" w:rsidRPr="00AB22A0" w:rsidRDefault="00684246" w:rsidP="00771A99">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1</w:t>
            </w:r>
            <w:r w:rsidR="00771A99">
              <w:rPr>
                <w:rFonts w:ascii="Times New Roman" w:eastAsia="Times New Roman" w:hAnsi="Times New Roman" w:cs="Times New Roman"/>
                <w:color w:val="FF0000"/>
                <w:sz w:val="18"/>
                <w:szCs w:val="18"/>
                <w:lang w:eastAsia="ru-RU"/>
              </w:rPr>
              <w:t> 426 305,90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E84C3D" w:rsidRPr="00361ED8" w:rsidTr="00771A99">
        <w:trPr>
          <w:cantSplit/>
          <w:trHeight w:val="1266"/>
        </w:trPr>
        <w:tc>
          <w:tcPr>
            <w:tcW w:w="1668" w:type="dxa"/>
          </w:tcPr>
          <w:p w:rsidR="00E84C3D" w:rsidRPr="00361ED8" w:rsidRDefault="00E84C3D"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693" w:type="dxa"/>
          </w:tcPr>
          <w:p w:rsidR="00E84C3D" w:rsidRPr="00361ED8" w:rsidRDefault="00E84C3D"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экологически чистой питьевой водой»</w:t>
            </w:r>
          </w:p>
        </w:tc>
        <w:tc>
          <w:tcPr>
            <w:tcW w:w="1593" w:type="dxa"/>
          </w:tcPr>
          <w:p w:rsidR="00E84C3D" w:rsidRPr="00361ED8" w:rsidRDefault="00E84C3D" w:rsidP="00905B7F">
            <w:pPr>
              <w:autoSpaceDN w:val="0"/>
              <w:adjustRightInd w:val="0"/>
              <w:jc w:val="center"/>
              <w:rPr>
                <w:rFonts w:ascii="Times New Roman" w:eastAsia="Times New Roman" w:hAnsi="Times New Roman" w:cs="Times New Roman"/>
                <w:sz w:val="20"/>
                <w:szCs w:val="20"/>
                <w:lang w:eastAsia="ru-RU"/>
              </w:rPr>
            </w:pPr>
            <w:r w:rsidRPr="00E84C3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E84C3D" w:rsidRPr="00361ED8" w:rsidRDefault="00E84C3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567"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E84C3D" w:rsidRPr="00D67D0C"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E84C3D" w:rsidRPr="00AB22A0" w:rsidRDefault="00E84C3D"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E84C3D" w:rsidRDefault="00771A99" w:rsidP="00771A9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126 305,90</w:t>
            </w:r>
          </w:p>
        </w:tc>
        <w:tc>
          <w:tcPr>
            <w:tcW w:w="850"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22551" w:rsidRPr="00361ED8" w:rsidTr="00771A99">
        <w:trPr>
          <w:cantSplit/>
          <w:trHeight w:val="1266"/>
        </w:trPr>
        <w:tc>
          <w:tcPr>
            <w:tcW w:w="1668" w:type="dxa"/>
          </w:tcPr>
          <w:p w:rsidR="00322551" w:rsidRDefault="00322551"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w:t>
            </w:r>
            <w:r w:rsidR="0005494A">
              <w:rPr>
                <w:rFonts w:ascii="Times New Roman" w:eastAsia="Times New Roman" w:hAnsi="Times New Roman" w:cs="Times New Roman"/>
                <w:sz w:val="20"/>
                <w:szCs w:val="20"/>
                <w:lang w:eastAsia="ru-RU"/>
              </w:rPr>
              <w:t xml:space="preserve"> направление</w:t>
            </w:r>
          </w:p>
        </w:tc>
        <w:tc>
          <w:tcPr>
            <w:tcW w:w="2693" w:type="dxa"/>
          </w:tcPr>
          <w:p w:rsidR="00322551" w:rsidRDefault="0005494A"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экологически чистой питьевой водой»</w:t>
            </w:r>
          </w:p>
        </w:tc>
        <w:tc>
          <w:tcPr>
            <w:tcW w:w="1593" w:type="dxa"/>
          </w:tcPr>
          <w:p w:rsidR="00322551" w:rsidRPr="00E84C3D" w:rsidRDefault="0005494A" w:rsidP="00905B7F">
            <w:pPr>
              <w:autoSpaceDN w:val="0"/>
              <w:adjustRightInd w:val="0"/>
              <w:jc w:val="center"/>
              <w:rPr>
                <w:rFonts w:ascii="Times New Roman" w:eastAsia="Times New Roman" w:hAnsi="Times New Roman" w:cs="Times New Roman"/>
                <w:sz w:val="20"/>
                <w:szCs w:val="20"/>
                <w:lang w:eastAsia="ru-RU"/>
              </w:rPr>
            </w:pPr>
            <w:r w:rsidRPr="0005494A">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322551" w:rsidRDefault="0005494A"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П</w:t>
            </w:r>
            <w:r w:rsidRPr="0005494A">
              <w:rPr>
                <w:rFonts w:ascii="Times New Roman" w:eastAsia="Times New Roman" w:hAnsi="Times New Roman" w:cs="Times New Roman"/>
                <w:sz w:val="20"/>
                <w:szCs w:val="20"/>
                <w:lang w:eastAsia="ru-RU"/>
              </w:rPr>
              <w:t>1427</w:t>
            </w:r>
          </w:p>
        </w:tc>
        <w:tc>
          <w:tcPr>
            <w:tcW w:w="567"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322551" w:rsidRDefault="0005494A"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22551" w:rsidRDefault="0005494A" w:rsidP="00771A9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1 300 000</w:t>
            </w:r>
          </w:p>
        </w:tc>
        <w:tc>
          <w:tcPr>
            <w:tcW w:w="850"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61ED8" w:rsidRPr="00361ED8" w:rsidTr="00771A99">
        <w:trPr>
          <w:cantSplit/>
          <w:trHeight w:val="1270"/>
        </w:trPr>
        <w:tc>
          <w:tcPr>
            <w:tcW w:w="1668" w:type="dxa"/>
          </w:tcPr>
          <w:p w:rsidR="00361ED8" w:rsidRPr="00361ED8" w:rsidRDefault="00361ED8" w:rsidP="00905B7F">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Основное направление </w:t>
            </w:r>
          </w:p>
          <w:p w:rsidR="00361ED8" w:rsidRPr="00361ED8" w:rsidRDefault="00361ED8" w:rsidP="00905B7F">
            <w:pPr>
              <w:jc w:val="left"/>
              <w:rPr>
                <w:rFonts w:ascii="Times New Roman" w:eastAsia="Times New Roman" w:hAnsi="Times New Roman" w:cs="Times New Roman"/>
                <w:sz w:val="20"/>
                <w:szCs w:val="20"/>
                <w:lang w:eastAsia="ru-RU"/>
              </w:rPr>
            </w:pPr>
          </w:p>
        </w:tc>
        <w:tc>
          <w:tcPr>
            <w:tcW w:w="2693" w:type="dxa"/>
          </w:tcPr>
          <w:p w:rsidR="00361ED8" w:rsidRPr="00361ED8" w:rsidRDefault="00361ED8" w:rsidP="00905B7F">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sidR="007B6E5D">
              <w:rPr>
                <w:rFonts w:ascii="Times New Roman" w:eastAsia="Calibri" w:hAnsi="Times New Roman" w:cs="Times New Roman"/>
                <w:sz w:val="20"/>
                <w:szCs w:val="20"/>
                <w:lang w:eastAsia="x-none"/>
              </w:rPr>
              <w:t>по модернизации, реконструкции объектов систем водосн</w:t>
            </w:r>
            <w:r w:rsidR="00905B7F">
              <w:rPr>
                <w:rFonts w:ascii="Times New Roman" w:eastAsia="Calibri" w:hAnsi="Times New Roman" w:cs="Times New Roman"/>
                <w:sz w:val="20"/>
                <w:szCs w:val="20"/>
                <w:lang w:eastAsia="x-none"/>
              </w:rPr>
              <w:t xml:space="preserve">абжения и (или) водоотведения (Водоснабжение </w:t>
            </w:r>
            <w:proofErr w:type="spellStart"/>
            <w:r w:rsidR="00905B7F">
              <w:rPr>
                <w:rFonts w:ascii="Times New Roman" w:eastAsia="Calibri" w:hAnsi="Times New Roman" w:cs="Times New Roman"/>
                <w:sz w:val="20"/>
                <w:szCs w:val="20"/>
                <w:lang w:eastAsia="x-none"/>
              </w:rPr>
              <w:t>ул.Санаторской</w:t>
            </w:r>
            <w:proofErr w:type="spellEnd"/>
            <w:r w:rsidR="00905B7F">
              <w:rPr>
                <w:rFonts w:ascii="Times New Roman" w:eastAsia="Calibri" w:hAnsi="Times New Roman" w:cs="Times New Roman"/>
                <w:sz w:val="20"/>
                <w:szCs w:val="20"/>
                <w:lang w:eastAsia="x-none"/>
              </w:rPr>
              <w:t xml:space="preserve"> </w:t>
            </w:r>
            <w:proofErr w:type="spellStart"/>
            <w:r w:rsidR="00905B7F">
              <w:rPr>
                <w:rFonts w:ascii="Times New Roman" w:eastAsia="Calibri" w:hAnsi="Times New Roman" w:cs="Times New Roman"/>
                <w:sz w:val="20"/>
                <w:szCs w:val="20"/>
                <w:lang w:eastAsia="x-none"/>
              </w:rPr>
              <w:t>с.Макаровка</w:t>
            </w:r>
            <w:proofErr w:type="spellEnd"/>
            <w:r w:rsidR="00905B7F">
              <w:rPr>
                <w:rFonts w:ascii="Times New Roman" w:eastAsia="Calibri" w:hAnsi="Times New Roman" w:cs="Times New Roman"/>
                <w:sz w:val="20"/>
                <w:szCs w:val="20"/>
                <w:lang w:eastAsia="x-none"/>
              </w:rPr>
              <w:t xml:space="preserve"> Курчатовского района Курской области. </w:t>
            </w:r>
            <w:proofErr w:type="gramStart"/>
            <w:r w:rsidR="00905B7F">
              <w:rPr>
                <w:rFonts w:ascii="Times New Roman" w:eastAsia="Calibri" w:hAnsi="Times New Roman" w:cs="Times New Roman"/>
                <w:sz w:val="20"/>
                <w:szCs w:val="20"/>
                <w:lang w:eastAsia="x-none"/>
              </w:rPr>
              <w:t>Реконструкция)</w:t>
            </w:r>
            <w:proofErr w:type="gramEnd"/>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7B6E5D" w:rsidRDefault="007B6E5D" w:rsidP="00905B7F">
            <w:pPr>
              <w:ind w:left="113" w:right="-102" w:hanging="224"/>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S2748</w:t>
            </w:r>
          </w:p>
        </w:tc>
        <w:tc>
          <w:tcPr>
            <w:tcW w:w="567" w:type="dxa"/>
            <w:vAlign w:val="center"/>
          </w:tcPr>
          <w:p w:rsidR="00361ED8" w:rsidRPr="00361ED8" w:rsidRDefault="007B6E5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23697" w:rsidP="00905B7F">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61ED8" w:rsidRPr="00AB22A0" w:rsidRDefault="005444C8" w:rsidP="00905B7F">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196ABA" w:rsidRPr="00361ED8" w:rsidTr="00771A99">
        <w:trPr>
          <w:cantSplit/>
          <w:trHeight w:val="1270"/>
        </w:trPr>
        <w:tc>
          <w:tcPr>
            <w:tcW w:w="1668" w:type="dxa"/>
          </w:tcPr>
          <w:p w:rsidR="00196ABA" w:rsidRPr="00361ED8" w:rsidRDefault="00905E77"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196ABA" w:rsidRPr="00CC7ED4" w:rsidRDefault="00CC7ED4"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Pr>
                <w:rFonts w:ascii="Times New Roman" w:eastAsia="Calibri" w:hAnsi="Times New Roman" w:cs="Times New Roman"/>
                <w:sz w:val="20"/>
                <w:szCs w:val="20"/>
                <w:lang w:eastAsia="x-none"/>
              </w:rPr>
              <w:t>муниципальных образований</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sidRPr="00A10509">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196ABA" w:rsidRPr="00AB22A0" w:rsidRDefault="00A10509"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96ABA" w:rsidRPr="00361ED8" w:rsidTr="00771A99">
        <w:trPr>
          <w:cantSplit/>
          <w:trHeight w:val="1270"/>
        </w:trPr>
        <w:tc>
          <w:tcPr>
            <w:tcW w:w="1668" w:type="dxa"/>
          </w:tcPr>
          <w:p w:rsidR="00196ABA" w:rsidRPr="00361ED8" w:rsidRDefault="00F23697" w:rsidP="00905B7F">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693" w:type="dxa"/>
          </w:tcPr>
          <w:p w:rsidR="00196ABA" w:rsidRPr="00442159" w:rsidRDefault="00442159"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Pr="00442159"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sidR="00442159">
              <w:rPr>
                <w:rFonts w:ascii="Times New Roman" w:eastAsia="Times New Roman" w:hAnsi="Times New Roman" w:cs="Times New Roman"/>
                <w:sz w:val="20"/>
                <w:szCs w:val="20"/>
                <w:lang w:eastAsia="ru-RU"/>
              </w:rPr>
              <w:t>5 00000</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196ABA" w:rsidRPr="00AB22A0" w:rsidRDefault="00684246"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3 346 600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05B7F" w:rsidRPr="00361ED8" w:rsidTr="00771A99">
        <w:trPr>
          <w:cantSplit/>
          <w:trHeight w:val="1270"/>
        </w:trPr>
        <w:tc>
          <w:tcPr>
            <w:tcW w:w="1668" w:type="dxa"/>
          </w:tcPr>
          <w:p w:rsidR="00905B7F" w:rsidRPr="00361ED8" w:rsidRDefault="00442159"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w:t>
            </w:r>
            <w:r w:rsidR="00905E77">
              <w:rPr>
                <w:rFonts w:ascii="Times New Roman" w:eastAsia="Times New Roman" w:hAnsi="Times New Roman" w:cs="Times New Roman"/>
                <w:sz w:val="20"/>
                <w:szCs w:val="20"/>
                <w:lang w:eastAsia="ru-RU"/>
              </w:rPr>
              <w:t xml:space="preserve">направление </w:t>
            </w:r>
          </w:p>
        </w:tc>
        <w:tc>
          <w:tcPr>
            <w:tcW w:w="2693" w:type="dxa"/>
          </w:tcPr>
          <w:p w:rsidR="00905B7F" w:rsidRPr="00905B7F" w:rsidRDefault="005A4B8A"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905B7F" w:rsidRPr="00905B7F" w:rsidRDefault="00905B7F" w:rsidP="00905B7F">
            <w:pPr>
              <w:jc w:val="center"/>
              <w:rPr>
                <w:rFonts w:ascii="Times New Roman" w:eastAsia="Times New Roman" w:hAnsi="Times New Roman" w:cs="Times New Roman"/>
                <w:sz w:val="20"/>
                <w:szCs w:val="20"/>
                <w:lang w:eastAsia="ru-RU"/>
              </w:rPr>
            </w:pPr>
            <w:r w:rsidRPr="00905B7F">
              <w:rPr>
                <w:rFonts w:ascii="Times New Roman" w:eastAsia="Times New Roman" w:hAnsi="Times New Roman" w:cs="Times New Roman"/>
                <w:sz w:val="20"/>
                <w:szCs w:val="20"/>
                <w:lang w:eastAsia="ru-RU"/>
              </w:rPr>
              <w:t>Администрация Курчатовского района Курской области</w:t>
            </w:r>
          </w:p>
          <w:p w:rsidR="00905B7F" w:rsidRPr="00361ED8" w:rsidRDefault="00905B7F" w:rsidP="00905B7F">
            <w:pPr>
              <w:jc w:val="center"/>
              <w:rPr>
                <w:rFonts w:ascii="Times New Roman" w:eastAsia="Times New Roman" w:hAnsi="Times New Roman" w:cs="Times New Roman"/>
                <w:sz w:val="20"/>
                <w:szCs w:val="20"/>
                <w:lang w:eastAsia="ru-RU"/>
              </w:rPr>
            </w:pP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905B7F" w:rsidRDefault="00A02A5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val="en-US" w:eastAsia="ru-RU"/>
              </w:rPr>
              <w:t xml:space="preserve">5 </w:t>
            </w:r>
            <w:r w:rsidR="00905B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567" w:type="dxa"/>
            <w:vAlign w:val="center"/>
          </w:tcPr>
          <w:p w:rsidR="00905B7F"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905B7F" w:rsidRPr="00D67D0C" w:rsidRDefault="00905B7F" w:rsidP="00905B7F">
            <w:pPr>
              <w:jc w:val="center"/>
              <w:rPr>
                <w:rFonts w:ascii="Times New Roman" w:eastAsia="Times New Roman" w:hAnsi="Times New Roman" w:cs="Times New Roman"/>
                <w:sz w:val="18"/>
                <w:szCs w:val="18"/>
                <w:lang w:val="en-US" w:eastAsia="ru-RU"/>
              </w:rPr>
            </w:pPr>
            <w:r w:rsidRPr="00D67D0C">
              <w:rPr>
                <w:rFonts w:ascii="Times New Roman" w:eastAsia="Times New Roman" w:hAnsi="Times New Roman" w:cs="Times New Roman"/>
                <w:sz w:val="18"/>
                <w:szCs w:val="18"/>
                <w:lang w:eastAsia="ru-RU"/>
              </w:rPr>
              <w:t>0</w:t>
            </w:r>
          </w:p>
        </w:tc>
        <w:tc>
          <w:tcPr>
            <w:tcW w:w="1276" w:type="dxa"/>
            <w:vAlign w:val="center"/>
          </w:tcPr>
          <w:p w:rsidR="00905B7F" w:rsidRPr="00AB22A0" w:rsidRDefault="00F206CC"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905B7F" w:rsidRPr="00AB22A0" w:rsidRDefault="00684246" w:rsidP="00905B7F">
            <w:pPr>
              <w:jc w:val="center"/>
              <w:rPr>
                <w:rFonts w:ascii="Times New Roman" w:eastAsia="Times New Roman" w:hAnsi="Times New Roman" w:cs="Times New Roman"/>
                <w:color w:val="FF0000"/>
                <w:sz w:val="18"/>
                <w:szCs w:val="18"/>
                <w:lang w:eastAsia="ru-RU"/>
              </w:rPr>
            </w:pPr>
            <w:r w:rsidRPr="00684246">
              <w:rPr>
                <w:rFonts w:ascii="Times New Roman" w:eastAsia="Times New Roman" w:hAnsi="Times New Roman" w:cs="Times New Roman"/>
                <w:color w:val="FF0000"/>
                <w:sz w:val="18"/>
                <w:szCs w:val="18"/>
                <w:lang w:eastAsia="ru-RU"/>
              </w:rPr>
              <w:t>3 346 600</w:t>
            </w:r>
          </w:p>
        </w:tc>
        <w:tc>
          <w:tcPr>
            <w:tcW w:w="850"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361ED8" w:rsidRPr="00361ED8" w:rsidRDefault="00361ED8" w:rsidP="00905B7F">
      <w:pPr>
        <w:jc w:val="both"/>
        <w:rPr>
          <w:rFonts w:ascii="Calibri" w:eastAsia="Times New Roman" w:hAnsi="Calibri" w:cs="Times New Roman"/>
          <w:sz w:val="20"/>
          <w:szCs w:val="20"/>
          <w:lang w:eastAsia="ru-RU"/>
        </w:rPr>
      </w:pPr>
    </w:p>
    <w:p w:rsidR="00361ED8" w:rsidRDefault="00361ED8"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E84C3D">
      <w:pPr>
        <w:jc w:val="both"/>
        <w:rPr>
          <w:rFonts w:ascii="Calibri" w:eastAsia="Times New Roman" w:hAnsi="Calibri" w:cs="Times New Roman"/>
          <w:sz w:val="20"/>
          <w:szCs w:val="20"/>
          <w:lang w:eastAsia="ru-RU"/>
        </w:rPr>
      </w:pPr>
    </w:p>
    <w:p w:rsidR="00E84C3D" w:rsidRDefault="00E84C3D" w:rsidP="00E84C3D">
      <w:pPr>
        <w:jc w:val="both"/>
        <w:rPr>
          <w:rFonts w:ascii="Calibri" w:eastAsia="Times New Roman" w:hAnsi="Calibri" w:cs="Times New Roman"/>
          <w:sz w:val="20"/>
          <w:szCs w:val="20"/>
          <w:lang w:eastAsia="ru-RU"/>
        </w:rPr>
      </w:pPr>
    </w:p>
    <w:p w:rsidR="00E84C3D" w:rsidRDefault="00E84C3D" w:rsidP="00E84C3D">
      <w:pPr>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Pr="00361ED8" w:rsidRDefault="00442159" w:rsidP="00361ED8">
      <w:pPr>
        <w:ind w:firstLine="709"/>
        <w:jc w:val="both"/>
        <w:rPr>
          <w:rFonts w:ascii="Calibri" w:eastAsia="Times New Roman" w:hAnsi="Calibri" w:cs="Times New Roman"/>
          <w:sz w:val="20"/>
          <w:szCs w:val="20"/>
          <w:lang w:eastAsia="ru-RU"/>
        </w:rPr>
      </w:pPr>
    </w:p>
    <w:p w:rsidR="00A01EA8" w:rsidRPr="00905B7F" w:rsidRDefault="00A01EA8" w:rsidP="00361ED8">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Таблица № 6</w:t>
      </w:r>
    </w:p>
    <w:p w:rsidR="00361ED8" w:rsidRPr="00361ED8" w:rsidRDefault="00361ED8" w:rsidP="00905B7F">
      <w:pPr>
        <w:jc w:val="both"/>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Ресурсное обеспечение</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3070"/>
        <w:gridCol w:w="2547"/>
        <w:gridCol w:w="1195"/>
        <w:gridCol w:w="1269"/>
        <w:gridCol w:w="1374"/>
        <w:gridCol w:w="1134"/>
        <w:gridCol w:w="1023"/>
        <w:gridCol w:w="1066"/>
        <w:gridCol w:w="1176"/>
      </w:tblGrid>
      <w:tr w:rsidR="00361ED8" w:rsidRPr="00361ED8" w:rsidTr="0005494A">
        <w:trPr>
          <w:trHeight w:val="238"/>
        </w:trPr>
        <w:tc>
          <w:tcPr>
            <w:tcW w:w="1598"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3070"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47"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Источник ресурсного обеспечения</w:t>
            </w:r>
          </w:p>
        </w:tc>
        <w:tc>
          <w:tcPr>
            <w:tcW w:w="8237" w:type="dxa"/>
            <w:gridSpan w:val="7"/>
            <w:tcBorders>
              <w:right w:val="single" w:sz="4" w:space="0" w:color="auto"/>
            </w:tcBorders>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Оценка расходов (рублей), годы</w:t>
            </w:r>
          </w:p>
        </w:tc>
      </w:tr>
      <w:tr w:rsidR="00361ED8" w:rsidRPr="00361ED8" w:rsidTr="0005494A">
        <w:trPr>
          <w:trHeight w:val="1017"/>
        </w:trPr>
        <w:tc>
          <w:tcPr>
            <w:tcW w:w="1598"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20"/>
                <w:szCs w:val="20"/>
                <w:lang w:eastAsia="ru-RU"/>
              </w:rPr>
              <w:t>2019г.</w:t>
            </w: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2020г.</w:t>
            </w: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AB22A0">
              <w:rPr>
                <w:rFonts w:ascii="Times New Roman" w:eastAsia="Times New Roman" w:hAnsi="Times New Roman" w:cs="Times New Roman"/>
                <w:color w:val="FF0000"/>
                <w:sz w:val="20"/>
                <w:szCs w:val="20"/>
                <w:lang w:eastAsia="ru-RU"/>
              </w:rPr>
              <w:t>2021г.</w:t>
            </w: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106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117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05494A">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Муниципальная программа </w:t>
            </w: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257844" w:rsidP="00FA7A85">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20"/>
                <w:szCs w:val="20"/>
                <w:lang w:eastAsia="ru-RU"/>
              </w:rPr>
              <w:t>2 </w:t>
            </w:r>
            <w:r w:rsidR="00FA7A85" w:rsidRPr="00AB22A0">
              <w:rPr>
                <w:rFonts w:ascii="Times New Roman" w:eastAsia="Times New Roman" w:hAnsi="Times New Roman" w:cs="Times New Roman"/>
                <w:color w:val="000000" w:themeColor="text1"/>
                <w:sz w:val="20"/>
                <w:szCs w:val="20"/>
                <w:lang w:eastAsia="ru-RU"/>
              </w:rPr>
              <w:t>077 663,94</w:t>
            </w:r>
          </w:p>
        </w:tc>
        <w:tc>
          <w:tcPr>
            <w:tcW w:w="1374" w:type="dxa"/>
            <w:tcBorders>
              <w:right w:val="single" w:sz="4" w:space="0" w:color="auto"/>
            </w:tcBorders>
          </w:tcPr>
          <w:p w:rsidR="00361ED8" w:rsidRPr="00AB22A0" w:rsidRDefault="00684246" w:rsidP="00322551">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4</w:t>
            </w:r>
            <w:r w:rsidR="00322551">
              <w:rPr>
                <w:rFonts w:ascii="Times New Roman" w:eastAsia="Times New Roman" w:hAnsi="Times New Roman" w:cs="Times New Roman"/>
                <w:color w:val="FF0000"/>
                <w:sz w:val="20"/>
                <w:szCs w:val="20"/>
                <w:lang w:eastAsia="ru-RU"/>
              </w:rPr>
              <w:t> 772 905,90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361ED8" w:rsidRPr="00AB22A0" w:rsidRDefault="00684246" w:rsidP="0057053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3</w:t>
            </w:r>
            <w:r w:rsidR="00570538">
              <w:rPr>
                <w:rFonts w:ascii="Times New Roman" w:eastAsia="Times New Roman" w:hAnsi="Times New Roman" w:cs="Times New Roman"/>
                <w:color w:val="FF0000"/>
                <w:sz w:val="20"/>
                <w:szCs w:val="20"/>
                <w:lang w:eastAsia="ru-RU"/>
              </w:rPr>
              <w:t> 329 320</w:t>
            </w: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eastAsia="ru-RU"/>
              </w:rPr>
              <w:t>345 152,94</w:t>
            </w:r>
          </w:p>
        </w:tc>
        <w:tc>
          <w:tcPr>
            <w:tcW w:w="1374" w:type="dxa"/>
            <w:tcBorders>
              <w:right w:val="single" w:sz="4" w:space="0" w:color="auto"/>
            </w:tcBorders>
          </w:tcPr>
          <w:p w:rsidR="00361ED8" w:rsidRPr="00AB22A0" w:rsidRDefault="00684246" w:rsidP="0057053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1</w:t>
            </w:r>
            <w:r w:rsidR="00FC78ED">
              <w:rPr>
                <w:rFonts w:ascii="Times New Roman" w:eastAsia="Times New Roman" w:hAnsi="Times New Roman" w:cs="Times New Roman"/>
                <w:color w:val="FF0000"/>
                <w:sz w:val="20"/>
                <w:szCs w:val="20"/>
                <w:lang w:eastAsia="ru-RU"/>
              </w:rPr>
              <w:t> 443 58</w:t>
            </w:r>
            <w:r w:rsidR="00570538">
              <w:rPr>
                <w:rFonts w:ascii="Times New Roman" w:eastAsia="Times New Roman" w:hAnsi="Times New Roman" w:cs="Times New Roman"/>
                <w:color w:val="FF0000"/>
                <w:sz w:val="20"/>
                <w:szCs w:val="20"/>
                <w:lang w:eastAsia="ru-RU"/>
              </w:rPr>
              <w:t>5,90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w:t>
            </w: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40459" w:rsidP="00361ED8">
            <w:pPr>
              <w:jc w:val="center"/>
              <w:rPr>
                <w:rFonts w:ascii="Calibri" w:eastAsia="Times New Roman" w:hAnsi="Calibri" w:cs="Times New Roman"/>
                <w:color w:val="000000" w:themeColor="text1"/>
                <w:sz w:val="20"/>
                <w:szCs w:val="20"/>
                <w:lang w:eastAsia="ru-RU"/>
              </w:rPr>
            </w:pPr>
            <w:r w:rsidRPr="00AB22A0">
              <w:rPr>
                <w:rFonts w:ascii="Calibri" w:eastAsia="Times New Roman" w:hAnsi="Calibri" w:cs="Times New Roman"/>
                <w:color w:val="000000" w:themeColor="text1"/>
                <w:sz w:val="20"/>
                <w:szCs w:val="20"/>
                <w:lang w:eastAsia="ru-RU"/>
              </w:rPr>
              <w:t>2 077 663,94</w:t>
            </w:r>
          </w:p>
        </w:tc>
        <w:tc>
          <w:tcPr>
            <w:tcW w:w="1374" w:type="dxa"/>
            <w:tcBorders>
              <w:right w:val="single" w:sz="4" w:space="0" w:color="auto"/>
            </w:tcBorders>
          </w:tcPr>
          <w:p w:rsidR="00361ED8" w:rsidRPr="00AB22A0" w:rsidRDefault="00684246" w:rsidP="00322551">
            <w:pPr>
              <w:jc w:val="center"/>
              <w:rPr>
                <w:rFonts w:ascii="Calibri" w:eastAsia="Times New Roman" w:hAnsi="Calibri" w:cs="Times New Roman"/>
                <w:color w:val="FF0000"/>
                <w:lang w:eastAsia="ru-RU"/>
              </w:rPr>
            </w:pPr>
            <w:r w:rsidRPr="00684246">
              <w:rPr>
                <w:rFonts w:ascii="Times New Roman" w:eastAsia="Times New Roman" w:hAnsi="Times New Roman" w:cs="Times New Roman"/>
                <w:color w:val="FF0000"/>
                <w:sz w:val="20"/>
                <w:szCs w:val="20"/>
                <w:lang w:eastAsia="ru-RU"/>
              </w:rPr>
              <w:t>4</w:t>
            </w:r>
            <w:r w:rsidR="00322551">
              <w:rPr>
                <w:rFonts w:ascii="Times New Roman" w:eastAsia="Times New Roman" w:hAnsi="Times New Roman" w:cs="Times New Roman"/>
                <w:color w:val="FF0000"/>
                <w:sz w:val="20"/>
                <w:szCs w:val="20"/>
                <w:lang w:eastAsia="ru-RU"/>
              </w:rPr>
              <w:t> 772 905,90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361ED8" w:rsidRPr="00AB22A0" w:rsidRDefault="00684246" w:rsidP="0057053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w:t>
            </w:r>
            <w:r w:rsidR="00570538">
              <w:rPr>
                <w:rFonts w:ascii="Times New Roman" w:eastAsia="Times New Roman" w:hAnsi="Times New Roman" w:cs="Times New Roman"/>
                <w:color w:val="FF0000"/>
                <w:sz w:val="20"/>
                <w:szCs w:val="20"/>
                <w:lang w:eastAsia="ru-RU"/>
              </w:rPr>
              <w:t> 329 320</w:t>
            </w: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345 152,94</w:t>
            </w:r>
          </w:p>
        </w:tc>
        <w:tc>
          <w:tcPr>
            <w:tcW w:w="1374" w:type="dxa"/>
            <w:tcBorders>
              <w:right w:val="single" w:sz="4" w:space="0" w:color="auto"/>
            </w:tcBorders>
          </w:tcPr>
          <w:p w:rsidR="00361ED8" w:rsidRPr="00AB22A0" w:rsidRDefault="00FC78ED" w:rsidP="00322551">
            <w:pPr>
              <w:jc w:val="center"/>
              <w:rPr>
                <w:rFonts w:ascii="Calibri" w:eastAsia="Times New Roman" w:hAnsi="Calibri" w:cs="Times New Roman"/>
                <w:color w:val="FF0000"/>
                <w:lang w:eastAsia="ru-RU"/>
              </w:rPr>
            </w:pPr>
            <w:r>
              <w:rPr>
                <w:rFonts w:ascii="Calibri" w:eastAsia="Times New Roman" w:hAnsi="Calibri" w:cs="Times New Roman"/>
                <w:color w:val="FF0000"/>
                <w:lang w:eastAsia="ru-RU"/>
              </w:rPr>
              <w:t>1 443 585</w:t>
            </w:r>
            <w:r w:rsidR="00570538" w:rsidRPr="00570538">
              <w:rPr>
                <w:rFonts w:ascii="Calibri" w:eastAsia="Times New Roman" w:hAnsi="Calibri" w:cs="Times New Roman"/>
                <w:color w:val="FF0000"/>
                <w:lang w:eastAsia="ru-RU"/>
              </w:rPr>
              <w:t>,90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val="x-none" w:eastAsia="ru-RU"/>
              </w:rPr>
            </w:pPr>
            <w:r w:rsidRPr="00361ED8">
              <w:rPr>
                <w:rFonts w:ascii="Times New Roman" w:eastAsia="Calibri" w:hAnsi="Times New Roman" w:cs="Times New Roman"/>
                <w:sz w:val="20"/>
                <w:szCs w:val="20"/>
                <w:lang w:val="x-none" w:eastAsia="x-none"/>
              </w:rPr>
              <w:t>«Обеспечение населения экологически чистой питьевой водой»</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40459" w:rsidP="00361ED8">
            <w:pPr>
              <w:jc w:val="center"/>
              <w:rPr>
                <w:rFonts w:ascii="Calibri" w:eastAsia="Times New Roman" w:hAnsi="Calibri" w:cs="Times New Roman"/>
                <w:color w:val="000000" w:themeColor="text1"/>
                <w:sz w:val="20"/>
                <w:szCs w:val="20"/>
                <w:lang w:eastAsia="ru-RU"/>
              </w:rPr>
            </w:pPr>
            <w:r w:rsidRPr="00AB22A0">
              <w:rPr>
                <w:rFonts w:ascii="Calibri" w:eastAsia="Times New Roman" w:hAnsi="Calibri" w:cs="Times New Roman"/>
                <w:color w:val="000000" w:themeColor="text1"/>
                <w:sz w:val="20"/>
                <w:szCs w:val="20"/>
                <w:lang w:eastAsia="ru-RU"/>
              </w:rPr>
              <w:t>63 152,94</w:t>
            </w:r>
          </w:p>
        </w:tc>
        <w:tc>
          <w:tcPr>
            <w:tcW w:w="1374" w:type="dxa"/>
            <w:tcBorders>
              <w:right w:val="single" w:sz="4" w:space="0" w:color="auto"/>
            </w:tcBorders>
          </w:tcPr>
          <w:p w:rsidR="00361ED8" w:rsidRPr="00AB22A0" w:rsidRDefault="00684246" w:rsidP="00322551">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1</w:t>
            </w:r>
            <w:r w:rsidR="00322551">
              <w:rPr>
                <w:rFonts w:ascii="Times New Roman" w:eastAsia="Times New Roman" w:hAnsi="Times New Roman" w:cs="Times New Roman"/>
                <w:color w:val="FF0000"/>
                <w:sz w:val="20"/>
                <w:szCs w:val="20"/>
                <w:lang w:eastAsia="ru-RU"/>
              </w:rPr>
              <w:t> 426 305,90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sz w:val="20"/>
                <w:szCs w:val="20"/>
                <w:lang w:eastAsia="ru-RU"/>
              </w:rPr>
            </w:pPr>
            <w:r w:rsidRPr="007D5371">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tcPr>
          <w:p w:rsidR="00361ED8" w:rsidRPr="00AB22A0" w:rsidRDefault="00322551" w:rsidP="00361ED8">
            <w:pPr>
              <w:jc w:val="center"/>
              <w:rPr>
                <w:rFonts w:ascii="Calibri" w:eastAsia="Times New Roman" w:hAnsi="Calibri" w:cs="Times New Roman"/>
                <w:color w:val="FF0000"/>
                <w:lang w:eastAsia="ru-RU"/>
              </w:rPr>
            </w:pPr>
            <w:r w:rsidRPr="00322551">
              <w:rPr>
                <w:rFonts w:ascii="Times New Roman" w:eastAsia="Times New Roman" w:hAnsi="Times New Roman" w:cs="Times New Roman"/>
                <w:color w:val="FF0000"/>
                <w:sz w:val="20"/>
                <w:szCs w:val="20"/>
                <w:lang w:eastAsia="ru-RU"/>
              </w:rPr>
              <w:t>1 426 305,90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5444C8">
            <w:pPr>
              <w:tabs>
                <w:tab w:val="center" w:pos="430"/>
              </w:tabs>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05494A">
        <w:tc>
          <w:tcPr>
            <w:tcW w:w="1598"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070"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экологически чистой питьевой водой»</w:t>
            </w: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AB22A0" w:rsidRDefault="00322551"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126 305,90</w:t>
            </w:r>
          </w:p>
        </w:tc>
        <w:tc>
          <w:tcPr>
            <w:tcW w:w="1134"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05494A">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05494A">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AB22A0" w:rsidRDefault="00322551"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126 305,90</w:t>
            </w:r>
          </w:p>
        </w:tc>
        <w:tc>
          <w:tcPr>
            <w:tcW w:w="1134"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05494A">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05494A">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05494A" w:rsidRPr="00361ED8" w:rsidTr="0005494A">
        <w:tc>
          <w:tcPr>
            <w:tcW w:w="1598"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направления</w:t>
            </w:r>
          </w:p>
        </w:tc>
        <w:tc>
          <w:tcPr>
            <w:tcW w:w="3070"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экологически чистой питьевой водой»</w:t>
            </w: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1 300 000</w:t>
            </w:r>
          </w:p>
        </w:tc>
        <w:tc>
          <w:tcPr>
            <w:tcW w:w="1134"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05494A">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r>
      <w:tr w:rsidR="0005494A" w:rsidRPr="00361ED8" w:rsidTr="0005494A">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1 300 000</w:t>
            </w:r>
          </w:p>
        </w:tc>
        <w:tc>
          <w:tcPr>
            <w:tcW w:w="1134"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05494A">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r>
      <w:tr w:rsidR="0005494A" w:rsidRPr="00361ED8" w:rsidTr="0005494A">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rPr>
          <w:trHeight w:val="138"/>
        </w:trPr>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361ED8" w:rsidRPr="00361ED8" w:rsidRDefault="005A4B8A"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(Водоснабжение </w:t>
            </w:r>
            <w:proofErr w:type="spellStart"/>
            <w:r>
              <w:rPr>
                <w:rFonts w:ascii="Times New Roman" w:eastAsia="Calibri" w:hAnsi="Times New Roman" w:cs="Times New Roman"/>
                <w:sz w:val="20"/>
                <w:szCs w:val="20"/>
                <w:lang w:eastAsia="x-none"/>
              </w:rPr>
              <w:t>ул.Санаторской</w:t>
            </w:r>
            <w:proofErr w:type="spellEnd"/>
            <w:r>
              <w:rPr>
                <w:rFonts w:ascii="Times New Roman" w:eastAsia="Calibri" w:hAnsi="Times New Roman" w:cs="Times New Roman"/>
                <w:sz w:val="20"/>
                <w:szCs w:val="20"/>
                <w:lang w:eastAsia="x-none"/>
              </w:rPr>
              <w:t xml:space="preserve"> </w:t>
            </w:r>
            <w:proofErr w:type="spellStart"/>
            <w:r>
              <w:rPr>
                <w:rFonts w:ascii="Times New Roman" w:eastAsia="Calibri" w:hAnsi="Times New Roman" w:cs="Times New Roman"/>
                <w:sz w:val="20"/>
                <w:szCs w:val="20"/>
                <w:lang w:eastAsia="x-none"/>
              </w:rPr>
              <w:t>с.Макаровка</w:t>
            </w:r>
            <w:proofErr w:type="spellEnd"/>
            <w:r>
              <w:rPr>
                <w:rFonts w:ascii="Times New Roman" w:eastAsia="Calibri" w:hAnsi="Times New Roman" w:cs="Times New Roman"/>
                <w:sz w:val="20"/>
                <w:szCs w:val="20"/>
                <w:lang w:eastAsia="x-none"/>
              </w:rPr>
              <w:t xml:space="preserve"> Курчатовского района Курской области. </w:t>
            </w:r>
            <w:proofErr w:type="gramStart"/>
            <w:r>
              <w:rPr>
                <w:rFonts w:ascii="Times New Roman" w:eastAsia="Calibri" w:hAnsi="Times New Roman" w:cs="Times New Roman"/>
                <w:sz w:val="20"/>
                <w:szCs w:val="20"/>
                <w:lang w:eastAsia="x-none"/>
              </w:rPr>
              <w:lastRenderedPageBreak/>
              <w:t>Реконструкция)</w:t>
            </w:r>
            <w:proofErr w:type="gramEnd"/>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0</w:t>
            </w:r>
          </w:p>
        </w:tc>
        <w:tc>
          <w:tcPr>
            <w:tcW w:w="1374" w:type="dxa"/>
            <w:tcBorders>
              <w:right w:val="single" w:sz="4" w:space="0" w:color="auto"/>
            </w:tcBorders>
          </w:tcPr>
          <w:p w:rsidR="00361ED8" w:rsidRPr="00AB22A0" w:rsidRDefault="005A4B8A" w:rsidP="00361ED8">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tcPr>
          <w:p w:rsidR="00361ED8" w:rsidRPr="00AB22A0" w:rsidRDefault="005A4B8A" w:rsidP="00361ED8">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05494A">
        <w:trPr>
          <w:trHeight w:val="322"/>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05494A">
        <w:trPr>
          <w:trHeight w:val="70"/>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361ED8"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val="restart"/>
          </w:tcPr>
          <w:p w:rsidR="00442159"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Основное направление </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val="restart"/>
          </w:tcPr>
          <w:p w:rsidR="00442159" w:rsidRPr="00361ED8" w:rsidRDefault="00F23697" w:rsidP="00361ED8">
            <w:pPr>
              <w:tabs>
                <w:tab w:val="center" w:pos="4677"/>
                <w:tab w:val="right" w:pos="9355"/>
              </w:tabs>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 xml:space="preserve"> «Чистая вода»</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442159" w:rsidRPr="00AB22A0" w:rsidRDefault="00684246" w:rsidP="00A54986">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w:t>
            </w:r>
            <w:r w:rsidR="00A54986">
              <w:rPr>
                <w:rFonts w:ascii="Times New Roman" w:eastAsia="Times New Roman" w:hAnsi="Times New Roman" w:cs="Times New Roman"/>
                <w:color w:val="FF0000"/>
                <w:sz w:val="20"/>
                <w:szCs w:val="20"/>
                <w:lang w:eastAsia="ru-RU"/>
              </w:rPr>
              <w:t> 329 320</w:t>
            </w:r>
          </w:p>
        </w:tc>
        <w:tc>
          <w:tcPr>
            <w:tcW w:w="1134"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442159" w:rsidRPr="00AB22A0" w:rsidRDefault="00A5498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17 280</w:t>
            </w: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442159"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05494A">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374"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34"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D67D0C" w:rsidRPr="00361ED8" w:rsidTr="0005494A">
        <w:trPr>
          <w:trHeight w:val="70"/>
        </w:trPr>
        <w:tc>
          <w:tcPr>
            <w:tcW w:w="1598" w:type="dxa"/>
            <w:vMerge w:val="restart"/>
          </w:tcPr>
          <w:p w:rsidR="00D67D0C"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D67D0C" w:rsidRPr="00361ED8" w:rsidRDefault="00F206C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w:t>
            </w: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D67D0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D67D0C" w:rsidRPr="00AB22A0" w:rsidRDefault="00A5498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A54986">
              <w:rPr>
                <w:rFonts w:ascii="Times New Roman" w:eastAsia="Times New Roman" w:hAnsi="Times New Roman" w:cs="Times New Roman"/>
                <w:color w:val="FF0000"/>
                <w:sz w:val="20"/>
                <w:szCs w:val="20"/>
                <w:lang w:eastAsia="ru-RU"/>
              </w:rPr>
              <w:t>3 329 320</w:t>
            </w:r>
          </w:p>
        </w:tc>
        <w:tc>
          <w:tcPr>
            <w:tcW w:w="1134"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05494A">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D67D0C" w:rsidRPr="00AB22A0" w:rsidRDefault="00A5498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17 280</w:t>
            </w:r>
          </w:p>
        </w:tc>
        <w:tc>
          <w:tcPr>
            <w:tcW w:w="1134"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05494A">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D67D0C" w:rsidRPr="00361ED8" w:rsidRDefault="00684246"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0</w:t>
            </w:r>
          </w:p>
        </w:tc>
        <w:tc>
          <w:tcPr>
            <w:tcW w:w="1134"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05494A">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D67D0C" w:rsidRPr="00361ED8" w:rsidRDefault="00D67D0C" w:rsidP="00802C19">
            <w:pPr>
              <w:tabs>
                <w:tab w:val="center" w:pos="4677"/>
                <w:tab w:val="right" w:pos="9355"/>
              </w:tabs>
              <w:jc w:val="both"/>
              <w:rPr>
                <w:rFonts w:ascii="Times New Roman" w:eastAsia="Times New Roman" w:hAnsi="Times New Roman" w:cs="Times New Roman"/>
                <w:sz w:val="20"/>
                <w:szCs w:val="20"/>
                <w:lang w:eastAsia="ru-RU"/>
              </w:rPr>
            </w:pPr>
          </w:p>
        </w:tc>
        <w:tc>
          <w:tcPr>
            <w:tcW w:w="1269" w:type="dxa"/>
            <w:tcBorders>
              <w:left w:val="single" w:sz="4" w:space="0" w:color="auto"/>
            </w:tcBorders>
            <w:vAlign w:val="center"/>
          </w:tcPr>
          <w:p w:rsidR="00D67D0C" w:rsidRPr="00D67D0C" w:rsidRDefault="00D67D0C"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374"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34"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r>
      <w:tr w:rsidR="00D67D0C" w:rsidRPr="00361ED8" w:rsidTr="0005494A">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D67D0C" w:rsidRPr="00361ED8" w:rsidRDefault="00D67D0C" w:rsidP="00802C19">
            <w:pPr>
              <w:tabs>
                <w:tab w:val="center" w:pos="4677"/>
                <w:tab w:val="right" w:pos="9355"/>
              </w:tabs>
              <w:jc w:val="both"/>
              <w:rPr>
                <w:rFonts w:ascii="Times New Roman" w:eastAsia="Times New Roman" w:hAnsi="Times New Roman" w:cs="Times New Roman"/>
                <w:sz w:val="20"/>
                <w:szCs w:val="20"/>
                <w:lang w:eastAsia="ru-RU"/>
              </w:rPr>
            </w:pPr>
          </w:p>
        </w:tc>
        <w:tc>
          <w:tcPr>
            <w:tcW w:w="1269" w:type="dxa"/>
            <w:tcBorders>
              <w:left w:val="single" w:sz="4" w:space="0" w:color="auto"/>
            </w:tcBorders>
            <w:vAlign w:val="center"/>
          </w:tcPr>
          <w:p w:rsidR="00D67D0C" w:rsidRPr="00D67D0C" w:rsidRDefault="00D67D0C"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374"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34"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23"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r>
    </w:tbl>
    <w:p w:rsidR="00C86FB5" w:rsidRDefault="00C86FB5" w:rsidP="00361ED8">
      <w:pPr>
        <w:jc w:val="both"/>
      </w:pPr>
    </w:p>
    <w:sectPr w:rsidR="00C86FB5"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32" w:rsidRDefault="004B5232">
      <w:r>
        <w:separator/>
      </w:r>
    </w:p>
  </w:endnote>
  <w:endnote w:type="continuationSeparator" w:id="0">
    <w:p w:rsidR="004B5232" w:rsidRDefault="004B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32" w:rsidRDefault="004B5232">
      <w:r>
        <w:separator/>
      </w:r>
    </w:p>
  </w:footnote>
  <w:footnote w:type="continuationSeparator" w:id="0">
    <w:p w:rsidR="004B5232" w:rsidRDefault="004B5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BF" w:rsidRPr="00F25192" w:rsidRDefault="00635BBF"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51118"/>
    <w:rsid w:val="0005494A"/>
    <w:rsid w:val="00054963"/>
    <w:rsid w:val="00066B10"/>
    <w:rsid w:val="00066F43"/>
    <w:rsid w:val="000B4F67"/>
    <w:rsid w:val="000B7988"/>
    <w:rsid w:val="000C4B24"/>
    <w:rsid w:val="000E72C4"/>
    <w:rsid w:val="00117529"/>
    <w:rsid w:val="00121D82"/>
    <w:rsid w:val="00141AA9"/>
    <w:rsid w:val="001543BA"/>
    <w:rsid w:val="00163412"/>
    <w:rsid w:val="00180831"/>
    <w:rsid w:val="00196ABA"/>
    <w:rsid w:val="001D7029"/>
    <w:rsid w:val="001F43FD"/>
    <w:rsid w:val="00202D6A"/>
    <w:rsid w:val="0023047E"/>
    <w:rsid w:val="00241C42"/>
    <w:rsid w:val="00257844"/>
    <w:rsid w:val="00260758"/>
    <w:rsid w:val="00291187"/>
    <w:rsid w:val="002A1662"/>
    <w:rsid w:val="002C138C"/>
    <w:rsid w:val="002C5729"/>
    <w:rsid w:val="002D28A6"/>
    <w:rsid w:val="00322551"/>
    <w:rsid w:val="0032376F"/>
    <w:rsid w:val="003466A3"/>
    <w:rsid w:val="003607D4"/>
    <w:rsid w:val="00361ED8"/>
    <w:rsid w:val="003B3C7E"/>
    <w:rsid w:val="003D1B62"/>
    <w:rsid w:val="003E7D36"/>
    <w:rsid w:val="003F6CDF"/>
    <w:rsid w:val="00442159"/>
    <w:rsid w:val="0044583A"/>
    <w:rsid w:val="00447D9B"/>
    <w:rsid w:val="00460883"/>
    <w:rsid w:val="004943F1"/>
    <w:rsid w:val="004B5232"/>
    <w:rsid w:val="004C584B"/>
    <w:rsid w:val="0050061C"/>
    <w:rsid w:val="00500FA6"/>
    <w:rsid w:val="005444C8"/>
    <w:rsid w:val="00552E65"/>
    <w:rsid w:val="00553C29"/>
    <w:rsid w:val="00564AF2"/>
    <w:rsid w:val="00565E17"/>
    <w:rsid w:val="00570538"/>
    <w:rsid w:val="00583619"/>
    <w:rsid w:val="005838DA"/>
    <w:rsid w:val="005A4B8A"/>
    <w:rsid w:val="005F211A"/>
    <w:rsid w:val="005F7697"/>
    <w:rsid w:val="00602E1C"/>
    <w:rsid w:val="00635BBF"/>
    <w:rsid w:val="00652C37"/>
    <w:rsid w:val="00684246"/>
    <w:rsid w:val="006C1DCA"/>
    <w:rsid w:val="006C21AB"/>
    <w:rsid w:val="006C748D"/>
    <w:rsid w:val="006D72DE"/>
    <w:rsid w:val="00771A99"/>
    <w:rsid w:val="0077207A"/>
    <w:rsid w:val="0077452B"/>
    <w:rsid w:val="007807F6"/>
    <w:rsid w:val="007B6E5D"/>
    <w:rsid w:val="007D3728"/>
    <w:rsid w:val="007D5371"/>
    <w:rsid w:val="00802C19"/>
    <w:rsid w:val="00816CEF"/>
    <w:rsid w:val="00841A24"/>
    <w:rsid w:val="008436E6"/>
    <w:rsid w:val="00857D23"/>
    <w:rsid w:val="008663BB"/>
    <w:rsid w:val="008733B0"/>
    <w:rsid w:val="00873F0B"/>
    <w:rsid w:val="008B4393"/>
    <w:rsid w:val="008E7DF5"/>
    <w:rsid w:val="00905B7F"/>
    <w:rsid w:val="00905E77"/>
    <w:rsid w:val="0096795C"/>
    <w:rsid w:val="00972969"/>
    <w:rsid w:val="00977031"/>
    <w:rsid w:val="0099695B"/>
    <w:rsid w:val="00A018EC"/>
    <w:rsid w:val="00A01EA8"/>
    <w:rsid w:val="00A02A5D"/>
    <w:rsid w:val="00A03209"/>
    <w:rsid w:val="00A04E6C"/>
    <w:rsid w:val="00A10509"/>
    <w:rsid w:val="00A54986"/>
    <w:rsid w:val="00A934F9"/>
    <w:rsid w:val="00AB22A0"/>
    <w:rsid w:val="00AE0393"/>
    <w:rsid w:val="00B21A36"/>
    <w:rsid w:val="00B50893"/>
    <w:rsid w:val="00B55BBE"/>
    <w:rsid w:val="00BA3816"/>
    <w:rsid w:val="00BA7797"/>
    <w:rsid w:val="00BB425C"/>
    <w:rsid w:val="00BC474C"/>
    <w:rsid w:val="00BD270D"/>
    <w:rsid w:val="00BE201C"/>
    <w:rsid w:val="00C010AB"/>
    <w:rsid w:val="00C86FB5"/>
    <w:rsid w:val="00CC7ED4"/>
    <w:rsid w:val="00D400A9"/>
    <w:rsid w:val="00D41A15"/>
    <w:rsid w:val="00D4581B"/>
    <w:rsid w:val="00D67D0C"/>
    <w:rsid w:val="00DC26EC"/>
    <w:rsid w:val="00E2340D"/>
    <w:rsid w:val="00E84C3D"/>
    <w:rsid w:val="00E85F05"/>
    <w:rsid w:val="00EA1959"/>
    <w:rsid w:val="00EE2F06"/>
    <w:rsid w:val="00F00C08"/>
    <w:rsid w:val="00F11E16"/>
    <w:rsid w:val="00F206CC"/>
    <w:rsid w:val="00F23697"/>
    <w:rsid w:val="00F349D9"/>
    <w:rsid w:val="00F40459"/>
    <w:rsid w:val="00F9505C"/>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yperlink" Target="consultantplus://offline/ref=734AB98AC7BBB05CE6234D82580313749107A5E389536DD4E5B707C5D2272419B8A4D9917D4C3BD50CB387j1YCM" TargetMode="External"/><Relationship Id="rId7" Type="http://schemas.openxmlformats.org/officeDocument/2006/relationships/footnotes" Target="footnotes.xml"/><Relationship Id="rId12" Type="http://schemas.openxmlformats.org/officeDocument/2006/relationships/hyperlink" Target="consultantplus://offline/ref=734AB98AC7BBB05CE6234D82580313749107A5E389536DD4E5B707C5D2272419B8A4D9917D4C3BD50CB387j1YCM"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8;&#1057;&#1054;&#1043;&#1044;/Desktop/&#1055;&#1088;&#1086;&#1075;&#1088;&#1072;&#1084;&#1084;&#1099;/&#1058;&#1088;&#1072;&#1085;&#1089;&#1087;&#1086;&#1088;&#1090;%202016%20&#1075;&#1086;&#1076;.doc"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1048;&#1057;&#1054;&#1043;&#1044;/Desktop/&#1055;&#1088;&#1086;&#1075;&#1088;&#1072;&#1084;&#1084;&#1099;/&#1058;&#1088;&#1072;&#1085;&#1089;&#1087;&#1086;&#1088;&#1090;%202016%20&#1075;&#1086;&#1076;.doc" TargetMode="External"/><Relationship Id="rId10" Type="http://schemas.openxmlformats.org/officeDocument/2006/relationships/hyperlink" Target="consultantplus://offline/ref=4225311C440C13108EF8069CBFAC5EDA5E7C1F4C186DBBF49C069B15F71A48A3E8053F71626785F8C5E3EEo5M"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E6A8-264A-476B-B682-A9D830FA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27</Pages>
  <Words>10493</Words>
  <Characters>59815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53</cp:revision>
  <cp:lastPrinted>2021-08-16T13:27:00Z</cp:lastPrinted>
  <dcterms:created xsi:type="dcterms:W3CDTF">2020-04-07T08:12:00Z</dcterms:created>
  <dcterms:modified xsi:type="dcterms:W3CDTF">2021-09-13T07:03:00Z</dcterms:modified>
</cp:coreProperties>
</file>